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5286" w14:textId="77777777" w:rsidR="0095157F" w:rsidRPr="0003595E" w:rsidRDefault="0095157F" w:rsidP="0095157F">
      <w:pPr>
        <w:jc w:val="center"/>
        <w:rPr>
          <w:rFonts w:cs="Sultan normal"/>
          <w:b/>
          <w:bCs/>
          <w:color w:val="000000"/>
          <w:sz w:val="24"/>
          <w:szCs w:val="24"/>
        </w:rPr>
      </w:pPr>
      <w:bookmarkStart w:id="0" w:name="_GoBack"/>
      <w:bookmarkEnd w:id="0"/>
      <w:r w:rsidRPr="0003595E">
        <w:rPr>
          <w:rFonts w:cs="Sultan normal"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284F1D06" wp14:editId="7E1933A9">
            <wp:extent cx="1414145" cy="1308100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3DEBB" w14:textId="77777777" w:rsidR="0095157F" w:rsidRPr="008D5137" w:rsidRDefault="0095157F" w:rsidP="0095157F">
      <w:pPr>
        <w:spacing w:after="0" w:line="240" w:lineRule="auto"/>
        <w:jc w:val="center"/>
        <w:rPr>
          <w:rFonts w:cs="Sultan bold"/>
        </w:rPr>
      </w:pPr>
      <w:r w:rsidRPr="008D5137">
        <w:rPr>
          <w:rFonts w:cs="Sultan bold"/>
        </w:rPr>
        <w:t xml:space="preserve">TECHNICAL SECRETARIAT FOR </w:t>
      </w:r>
    </w:p>
    <w:p w14:paraId="44E4961B" w14:textId="77777777" w:rsidR="0095157F" w:rsidRDefault="0095157F" w:rsidP="0095157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D5137">
        <w:rPr>
          <w:rFonts w:cs="Sultan bold"/>
        </w:rPr>
        <w:t>ANTI-INJURIOUS PRACTICES IN INTERNATIONAL TRADE</w:t>
      </w:r>
      <w:r>
        <w:rPr>
          <w:rFonts w:cs="Sultan bold"/>
        </w:rPr>
        <w:t xml:space="preserve"> </w:t>
      </w:r>
    </w:p>
    <w:p w14:paraId="105F7269" w14:textId="77777777" w:rsidR="001A6F65" w:rsidRPr="003B623F" w:rsidRDefault="00AE0E73" w:rsidP="009D0F2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B623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Form of Interested Parties Required Data for Attending the </w:t>
      </w:r>
      <w:r w:rsidR="00E96E1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Public </w:t>
      </w:r>
      <w:r w:rsidRPr="003B623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Hearing </w:t>
      </w:r>
    </w:p>
    <w:tbl>
      <w:tblPr>
        <w:tblStyle w:val="TabloKlavuzu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592"/>
        <w:gridCol w:w="2922"/>
        <w:gridCol w:w="3707"/>
      </w:tblGrid>
      <w:tr w:rsidR="00776ED3" w:rsidRPr="00776ED3" w14:paraId="1054D4AC" w14:textId="77777777" w:rsidTr="009D0F28">
        <w:tc>
          <w:tcPr>
            <w:tcW w:w="10632" w:type="dxa"/>
            <w:gridSpan w:val="4"/>
            <w:shd w:val="clear" w:color="auto" w:fill="E2EFD9" w:themeFill="accent6" w:themeFillTint="33"/>
          </w:tcPr>
          <w:p w14:paraId="38B4EF80" w14:textId="77777777" w:rsidR="00AE0E73" w:rsidRPr="00776ED3" w:rsidRDefault="00FF182E" w:rsidP="00521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First: </w:t>
            </w:r>
            <w:r w:rsidR="004633D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Interested Party Information</w:t>
            </w:r>
          </w:p>
        </w:tc>
      </w:tr>
      <w:tr w:rsidR="00776ED3" w:rsidRPr="00776ED3" w14:paraId="2A5E9A41" w14:textId="77777777" w:rsidTr="009D0F28">
        <w:tc>
          <w:tcPr>
            <w:tcW w:w="2411" w:type="dxa"/>
          </w:tcPr>
          <w:p w14:paraId="216F95CA" w14:textId="77777777" w:rsidR="000D17A2" w:rsidRPr="00776ED3" w:rsidRDefault="00181B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Entity </w:t>
            </w:r>
          </w:p>
        </w:tc>
        <w:tc>
          <w:tcPr>
            <w:tcW w:w="8221" w:type="dxa"/>
            <w:gridSpan w:val="3"/>
          </w:tcPr>
          <w:p w14:paraId="50D22EEA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344F55FF" w14:textId="77777777" w:rsidTr="009D0F28">
        <w:tc>
          <w:tcPr>
            <w:tcW w:w="2411" w:type="dxa"/>
          </w:tcPr>
          <w:p w14:paraId="0A5081E3" w14:textId="77777777" w:rsidR="000D17A2" w:rsidRPr="00776ED3" w:rsidRDefault="00181B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Entity Type</w:t>
            </w:r>
          </w:p>
        </w:tc>
        <w:tc>
          <w:tcPr>
            <w:tcW w:w="8221" w:type="dxa"/>
            <w:gridSpan w:val="3"/>
          </w:tcPr>
          <w:p w14:paraId="4D93A5E0" w14:textId="77777777" w:rsidR="000D17A2" w:rsidRPr="00776ED3" w:rsidRDefault="002F1574" w:rsidP="002F1574">
            <w:pPr>
              <w:rPr>
                <w:sz w:val="24"/>
                <w:szCs w:val="24"/>
              </w:rPr>
            </w:pPr>
            <w:r w:rsidRPr="00776ED3">
              <w:rPr>
                <w:sz w:val="24"/>
                <w:szCs w:val="24"/>
              </w:rPr>
              <w:t xml:space="preserve">⃝Embassy     ⃝Other Governmental Entity        </w:t>
            </w:r>
            <w:r w:rsidR="000D17A2" w:rsidRPr="00776ED3">
              <w:rPr>
                <w:sz w:val="24"/>
                <w:szCs w:val="24"/>
              </w:rPr>
              <w:t>⃝</w:t>
            </w:r>
            <w:r w:rsidRPr="00776ED3">
              <w:rPr>
                <w:sz w:val="24"/>
                <w:szCs w:val="24"/>
              </w:rPr>
              <w:t xml:space="preserve">Foreign </w:t>
            </w:r>
            <w:r w:rsidR="000D17A2" w:rsidRPr="00776ED3">
              <w:rPr>
                <w:sz w:val="24"/>
                <w:szCs w:val="24"/>
              </w:rPr>
              <w:t xml:space="preserve">Exporter </w:t>
            </w:r>
            <w:r w:rsidRPr="00776ED3">
              <w:rPr>
                <w:sz w:val="24"/>
                <w:szCs w:val="24"/>
              </w:rPr>
              <w:t xml:space="preserve">   </w:t>
            </w:r>
            <w:r w:rsidR="000D17A2" w:rsidRPr="00776ED3">
              <w:rPr>
                <w:sz w:val="24"/>
                <w:szCs w:val="24"/>
              </w:rPr>
              <w:t>⃝</w:t>
            </w:r>
            <w:r w:rsidRPr="00776ED3">
              <w:rPr>
                <w:sz w:val="24"/>
                <w:szCs w:val="24"/>
              </w:rPr>
              <w:t xml:space="preserve">GCC producer         </w:t>
            </w:r>
            <w:r w:rsidR="000D17A2" w:rsidRPr="00776ED3">
              <w:rPr>
                <w:sz w:val="24"/>
                <w:szCs w:val="24"/>
              </w:rPr>
              <w:t>⃝</w:t>
            </w:r>
            <w:r w:rsidRPr="00776ED3">
              <w:rPr>
                <w:sz w:val="24"/>
                <w:szCs w:val="24"/>
              </w:rPr>
              <w:t>GCC importer</w:t>
            </w:r>
            <w:r w:rsidR="000D17A2" w:rsidRPr="00776ED3">
              <w:rPr>
                <w:sz w:val="24"/>
                <w:szCs w:val="24"/>
              </w:rPr>
              <w:t xml:space="preserve"> </w:t>
            </w:r>
            <w:r w:rsidRPr="00776ED3">
              <w:rPr>
                <w:sz w:val="24"/>
                <w:szCs w:val="24"/>
              </w:rPr>
              <w:t xml:space="preserve">            </w:t>
            </w:r>
            <w:r w:rsidR="000D17A2" w:rsidRPr="00776ED3">
              <w:rPr>
                <w:sz w:val="24"/>
                <w:szCs w:val="24"/>
              </w:rPr>
              <w:t>⃝Other ……………</w:t>
            </w:r>
            <w:r w:rsidR="00291BA8" w:rsidRPr="00776ED3">
              <w:rPr>
                <w:sz w:val="24"/>
                <w:szCs w:val="24"/>
              </w:rPr>
              <w:t>....</w:t>
            </w:r>
            <w:r w:rsidR="005D641A" w:rsidRPr="00776ED3">
              <w:rPr>
                <w:sz w:val="24"/>
                <w:szCs w:val="24"/>
              </w:rPr>
              <w:t xml:space="preserve"> (Specify)</w:t>
            </w:r>
          </w:p>
        </w:tc>
      </w:tr>
      <w:tr w:rsidR="00776ED3" w:rsidRPr="00776ED3" w14:paraId="5F5BFFD8" w14:textId="77777777" w:rsidTr="009D0F28">
        <w:tc>
          <w:tcPr>
            <w:tcW w:w="2411" w:type="dxa"/>
          </w:tcPr>
          <w:p w14:paraId="62A2E662" w14:textId="77777777" w:rsidR="000D17A2" w:rsidRPr="00776ED3" w:rsidRDefault="000D17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8221" w:type="dxa"/>
            <w:gridSpan w:val="3"/>
          </w:tcPr>
          <w:p w14:paraId="1E6D3A22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17586CCD" w14:textId="77777777" w:rsidTr="009D0F28">
        <w:tc>
          <w:tcPr>
            <w:tcW w:w="2411" w:type="dxa"/>
          </w:tcPr>
          <w:p w14:paraId="6772E4F9" w14:textId="77777777" w:rsidR="000D17A2" w:rsidRPr="00776ED3" w:rsidRDefault="000D17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8221" w:type="dxa"/>
            <w:gridSpan w:val="3"/>
          </w:tcPr>
          <w:p w14:paraId="3DC706B0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15F8B813" w14:textId="77777777" w:rsidTr="009D0F28">
        <w:tc>
          <w:tcPr>
            <w:tcW w:w="2411" w:type="dxa"/>
          </w:tcPr>
          <w:p w14:paraId="3652A64D" w14:textId="77777777" w:rsidR="000D17A2" w:rsidRPr="00776ED3" w:rsidRDefault="000D17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221" w:type="dxa"/>
            <w:gridSpan w:val="3"/>
          </w:tcPr>
          <w:p w14:paraId="1BC2A9CC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7C982507" w14:textId="77777777" w:rsidTr="009D0F28">
        <w:tc>
          <w:tcPr>
            <w:tcW w:w="2411" w:type="dxa"/>
          </w:tcPr>
          <w:p w14:paraId="01BA76E4" w14:textId="77777777" w:rsidR="000D17A2" w:rsidRPr="00776ED3" w:rsidRDefault="000D17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8221" w:type="dxa"/>
            <w:gridSpan w:val="3"/>
          </w:tcPr>
          <w:p w14:paraId="696FAEF7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4CB168F2" w14:textId="77777777" w:rsidTr="009D0F28">
        <w:tc>
          <w:tcPr>
            <w:tcW w:w="2411" w:type="dxa"/>
          </w:tcPr>
          <w:p w14:paraId="73D17294" w14:textId="77777777" w:rsidR="000D17A2" w:rsidRPr="00776ED3" w:rsidRDefault="000D17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1" w:type="dxa"/>
            <w:gridSpan w:val="3"/>
          </w:tcPr>
          <w:p w14:paraId="45258D7A" w14:textId="77777777" w:rsidR="000D17A2" w:rsidRPr="00776ED3" w:rsidRDefault="000D17A2">
            <w:pPr>
              <w:rPr>
                <w:sz w:val="24"/>
                <w:szCs w:val="24"/>
              </w:rPr>
            </w:pPr>
          </w:p>
        </w:tc>
      </w:tr>
      <w:tr w:rsidR="00776ED3" w:rsidRPr="00776ED3" w14:paraId="109580F3" w14:textId="77777777" w:rsidTr="009D0F28">
        <w:tc>
          <w:tcPr>
            <w:tcW w:w="10632" w:type="dxa"/>
            <w:gridSpan w:val="4"/>
            <w:shd w:val="clear" w:color="auto" w:fill="E2EFD9" w:themeFill="accent6" w:themeFillTint="33"/>
          </w:tcPr>
          <w:p w14:paraId="4D13EDC5" w14:textId="77777777" w:rsidR="005D641A" w:rsidRPr="00776ED3" w:rsidRDefault="005D641A" w:rsidP="002D12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Second: Summery on the point of view that will be presented during the hearing</w:t>
            </w:r>
          </w:p>
        </w:tc>
      </w:tr>
      <w:tr w:rsidR="00776ED3" w:rsidRPr="00776ED3" w14:paraId="1F562740" w14:textId="77777777" w:rsidTr="009D0F28">
        <w:tc>
          <w:tcPr>
            <w:tcW w:w="10632" w:type="dxa"/>
            <w:gridSpan w:val="4"/>
          </w:tcPr>
          <w:p w14:paraId="5280B0B6" w14:textId="77777777" w:rsidR="000D17A2" w:rsidRPr="00776ED3" w:rsidRDefault="000D17A2">
            <w:pPr>
              <w:rPr>
                <w:sz w:val="24"/>
                <w:szCs w:val="24"/>
              </w:rPr>
            </w:pPr>
          </w:p>
          <w:p w14:paraId="2E080611" w14:textId="77777777" w:rsidR="000D17A2" w:rsidRPr="00776ED3" w:rsidRDefault="000D17A2">
            <w:pPr>
              <w:rPr>
                <w:sz w:val="24"/>
                <w:szCs w:val="24"/>
              </w:rPr>
            </w:pPr>
          </w:p>
          <w:p w14:paraId="04DD8CC0" w14:textId="77777777" w:rsidR="000D17A2" w:rsidRPr="00776ED3" w:rsidRDefault="000D17A2">
            <w:pPr>
              <w:rPr>
                <w:sz w:val="24"/>
                <w:szCs w:val="24"/>
              </w:rPr>
            </w:pPr>
          </w:p>
          <w:p w14:paraId="426D5BAB" w14:textId="77777777" w:rsidR="000D17A2" w:rsidRPr="00776ED3" w:rsidRDefault="000D17A2">
            <w:pPr>
              <w:rPr>
                <w:sz w:val="24"/>
                <w:szCs w:val="24"/>
              </w:rPr>
            </w:pPr>
          </w:p>
          <w:p w14:paraId="7862989E" w14:textId="77777777" w:rsidR="000D17A2" w:rsidRPr="00776ED3" w:rsidRDefault="000D17A2">
            <w:pPr>
              <w:rPr>
                <w:sz w:val="24"/>
                <w:szCs w:val="24"/>
              </w:rPr>
            </w:pPr>
          </w:p>
          <w:p w14:paraId="7985DC02" w14:textId="77777777" w:rsidR="001A297F" w:rsidRPr="00776ED3" w:rsidRDefault="001A297F">
            <w:pPr>
              <w:rPr>
                <w:sz w:val="24"/>
                <w:szCs w:val="24"/>
              </w:rPr>
            </w:pPr>
          </w:p>
        </w:tc>
      </w:tr>
      <w:tr w:rsidR="00776ED3" w:rsidRPr="00776ED3" w14:paraId="0F3A376B" w14:textId="77777777" w:rsidTr="009D0F28">
        <w:tc>
          <w:tcPr>
            <w:tcW w:w="10632" w:type="dxa"/>
            <w:gridSpan w:val="4"/>
            <w:shd w:val="clear" w:color="auto" w:fill="E2EFD9" w:themeFill="accent6" w:themeFillTint="33"/>
          </w:tcPr>
          <w:p w14:paraId="472C72BA" w14:textId="77777777" w:rsidR="00291BA8" w:rsidRPr="00776ED3" w:rsidRDefault="00291BA8" w:rsidP="00521D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Third: </w:t>
            </w:r>
            <w:r w:rsidR="00421CE5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Participants Information</w:t>
            </w:r>
          </w:p>
        </w:tc>
      </w:tr>
      <w:tr w:rsidR="00776ED3" w:rsidRPr="00776ED3" w14:paraId="566B15F1" w14:textId="77777777" w:rsidTr="009D0F28">
        <w:tc>
          <w:tcPr>
            <w:tcW w:w="4003" w:type="dxa"/>
            <w:gridSpan w:val="2"/>
          </w:tcPr>
          <w:p w14:paraId="476CC249" w14:textId="77777777" w:rsidR="007D7702" w:rsidRPr="00776ED3" w:rsidRDefault="002F1574" w:rsidP="002F1574">
            <w:pPr>
              <w:tabs>
                <w:tab w:val="center" w:pos="202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2922" w:type="dxa"/>
          </w:tcPr>
          <w:p w14:paraId="32665020" w14:textId="77777777" w:rsidR="007D7702" w:rsidRPr="00776ED3" w:rsidRDefault="002F1574" w:rsidP="002F15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3707" w:type="dxa"/>
          </w:tcPr>
          <w:p w14:paraId="1A1C9ACB" w14:textId="77777777" w:rsidR="007D7702" w:rsidRPr="00776ED3" w:rsidRDefault="002F1574" w:rsidP="002F15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</w:tr>
      <w:tr w:rsidR="00776ED3" w:rsidRPr="00776ED3" w14:paraId="42FE509E" w14:textId="77777777" w:rsidTr="005248EE">
        <w:trPr>
          <w:trHeight w:val="787"/>
        </w:trPr>
        <w:tc>
          <w:tcPr>
            <w:tcW w:w="4003" w:type="dxa"/>
            <w:gridSpan w:val="2"/>
          </w:tcPr>
          <w:p w14:paraId="6535A13B" w14:textId="77777777" w:rsidR="007D7702" w:rsidRPr="00776ED3" w:rsidRDefault="007D7702" w:rsidP="007D770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557736BD" w14:textId="77777777" w:rsidR="007D7702" w:rsidRPr="00776ED3" w:rsidRDefault="007D7702" w:rsidP="007D7702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</w:tcPr>
          <w:p w14:paraId="597BD67D" w14:textId="77777777" w:rsidR="007D7702" w:rsidRPr="00776ED3" w:rsidRDefault="007D7702" w:rsidP="007D7702">
            <w:pPr>
              <w:rPr>
                <w:sz w:val="24"/>
                <w:szCs w:val="24"/>
              </w:rPr>
            </w:pPr>
          </w:p>
          <w:p w14:paraId="7EE04D7A" w14:textId="77777777" w:rsidR="002F1574" w:rsidRPr="00776ED3" w:rsidRDefault="002F1574" w:rsidP="007D7702">
            <w:pPr>
              <w:rPr>
                <w:sz w:val="24"/>
                <w:szCs w:val="24"/>
              </w:rPr>
            </w:pPr>
          </w:p>
          <w:p w14:paraId="7E0939E0" w14:textId="77777777" w:rsidR="002F1574" w:rsidRPr="00776ED3" w:rsidRDefault="002F1574" w:rsidP="007D7702">
            <w:pPr>
              <w:rPr>
                <w:sz w:val="24"/>
                <w:szCs w:val="24"/>
              </w:rPr>
            </w:pPr>
          </w:p>
        </w:tc>
      </w:tr>
      <w:tr w:rsidR="00776ED3" w:rsidRPr="00776ED3" w14:paraId="7DCB720C" w14:textId="77777777" w:rsidTr="009D0F28">
        <w:tc>
          <w:tcPr>
            <w:tcW w:w="10632" w:type="dxa"/>
            <w:gridSpan w:val="4"/>
            <w:shd w:val="clear" w:color="auto" w:fill="E2EFD9" w:themeFill="accent6" w:themeFillTint="33"/>
          </w:tcPr>
          <w:p w14:paraId="31679C2F" w14:textId="77777777" w:rsidR="00384541" w:rsidRPr="00776ED3" w:rsidRDefault="002F15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Instructions</w:t>
            </w:r>
            <w:r w:rsidR="0038454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6EDF884B" w14:textId="39445751" w:rsidR="00384541" w:rsidRPr="00776ED3" w:rsidRDefault="00521D2B" w:rsidP="00301AB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Kindly send 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="001F3084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 via e-ma</w:t>
            </w:r>
            <w:r w:rsidR="0008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il to the TSAIP e-mail address: </w:t>
            </w:r>
            <w:hyperlink r:id="rId9" w:history="1">
              <w:proofErr w:type="gramStart"/>
              <w:r w:rsidR="001F3084" w:rsidRPr="00083D9E">
                <w:rPr>
                  <w:rStyle w:val="Kpr"/>
                  <w:rFonts w:asciiTheme="minorBidi" w:hAnsiTheme="minorBidi" w:cs="Sultan normal"/>
                  <w:sz w:val="26"/>
                  <w:szCs w:val="26"/>
                </w:rPr>
                <w:t>tsad@gccsg.org</w:t>
              </w:r>
            </w:hyperlink>
            <w:r w:rsidR="00083D9E">
              <w:rPr>
                <w:rStyle w:val="Kpr"/>
                <w:rFonts w:asciiTheme="minorBidi" w:hAnsiTheme="minorBidi" w:cs="Sultan normal"/>
                <w:sz w:val="26"/>
                <w:szCs w:val="26"/>
              </w:rPr>
              <w:t xml:space="preserve"> </w:t>
            </w:r>
            <w:r w:rsidR="00083D9E">
              <w:rPr>
                <w:rStyle w:val="Kpr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;</w:t>
            </w:r>
            <w:proofErr w:type="gramEnd"/>
            <w:r w:rsidR="00B52C7B" w:rsidRPr="00083D9E">
              <w:fldChar w:fldCharType="begin"/>
            </w:r>
            <w:r w:rsidR="00B52C7B" w:rsidRPr="00083D9E">
              <w:rPr>
                <w:sz w:val="24"/>
                <w:szCs w:val="24"/>
              </w:rPr>
              <w:instrText xml:space="preserve"> HYPERLINK "mailto:snalasmi@gccsg.org" </w:instrText>
            </w:r>
            <w:r w:rsidR="00B52C7B" w:rsidRPr="00083D9E">
              <w:fldChar w:fldCharType="separate"/>
            </w:r>
            <w:r w:rsidR="00402B9A" w:rsidRPr="00083D9E">
              <w:rPr>
                <w:rStyle w:val="Kpr"/>
                <w:rFonts w:asciiTheme="minorBidi" w:hAnsiTheme="minorBidi" w:cs="Sultan normal"/>
                <w:sz w:val="24"/>
                <w:szCs w:val="24"/>
              </w:rPr>
              <w:t>snalasmi@gccsg.org</w:t>
            </w:r>
            <w:r w:rsidR="00B52C7B" w:rsidRPr="00083D9E">
              <w:rPr>
                <w:rStyle w:val="Kpr"/>
                <w:rFonts w:asciiTheme="minorBidi" w:hAnsiTheme="minorBidi" w:cs="Sultan normal"/>
                <w:sz w:val="24"/>
                <w:szCs w:val="24"/>
              </w:rPr>
              <w:fldChar w:fldCharType="end"/>
            </w:r>
            <w:r w:rsidR="00402B9A">
              <w:rPr>
                <w:rFonts w:asciiTheme="minorBidi" w:hAnsiTheme="minorBidi" w:cs="Sultan normal" w:hint="cs"/>
                <w:sz w:val="26"/>
                <w:szCs w:val="26"/>
                <w:rtl/>
              </w:rPr>
              <w:t xml:space="preserve"> </w:t>
            </w:r>
            <w:r w:rsidR="0034441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79315A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uring the official working hours </w:t>
            </w:r>
            <w:r w:rsidR="002F1574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from 8 am to 3 pm 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Time in Kingdom of Saudi Arabia</w:t>
            </w:r>
            <w:r w:rsidR="00402B9A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9315A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Sunday to Thursday</w:t>
            </w:r>
            <w:r w:rsidR="005F5C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The form must be submitted at least 7 working days before </w:t>
            </w:r>
            <w:proofErr w:type="gramStart"/>
            <w:r w:rsidR="005F5C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 date</w:t>
            </w:r>
            <w:proofErr w:type="gramEnd"/>
            <w:r w:rsidR="005F5C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public hearing. </w:t>
            </w:r>
          </w:p>
          <w:p w14:paraId="107CA18E" w14:textId="77777777" w:rsidR="00C6401E" w:rsidRPr="00776ED3" w:rsidRDefault="00C6401E" w:rsidP="0063740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 w:rsidR="006D0ACE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  <w:r w:rsidR="006D0ACE" w:rsidRPr="00776E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0ACE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language will be used in the </w:t>
            </w:r>
            <w:r w:rsidR="00301AB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hearing;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860E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herefore, </w:t>
            </w:r>
            <w:r w:rsidR="00C272EB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parties</w:t>
            </w:r>
            <w:r w:rsidR="003449B7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who </w:t>
            </w:r>
            <w:r w:rsidR="00C272EB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need translation</w:t>
            </w:r>
            <w:r w:rsidR="003449B7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272EB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 welcome to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bring an interpreter.</w:t>
            </w:r>
            <w:r w:rsidR="008B67CB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84E8540" w14:textId="7F559679" w:rsidR="001F3084" w:rsidRPr="00776ED3" w:rsidRDefault="0035415E" w:rsidP="00301AB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="008F662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information provided 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orally </w:t>
            </w:r>
            <w:r w:rsidR="008F662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during the hearing will be neglected, unless it is submitted in writing (Arabic or English) to GCC-TSAIP no later than 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days from the hearing.</w:t>
            </w:r>
            <w:r w:rsidR="00B44F59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F6621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75AB8BA" w14:textId="5EA5D174" w:rsidR="00CE0DEF" w:rsidRPr="00776ED3" w:rsidRDefault="00F93FFB" w:rsidP="00301AB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earing will start at 10 am</w:t>
            </w:r>
            <w:r w:rsidR="00330348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Time in Kingdom of Saudi Arabia, </w:t>
            </w:r>
            <w:r w:rsidR="00301AB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articipants are required to 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login into the program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at least </w:t>
            </w:r>
            <w:r w:rsidR="002B7388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minutes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prior </w:t>
            </w:r>
            <w:r w:rsidR="00301AB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starting</w:t>
            </w:r>
            <w:r w:rsidR="0015523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time</w:t>
            </w:r>
            <w:r w:rsidR="00AF3F4F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B7388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07AC8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776ED3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Arrangement</w:t>
            </w:r>
            <w:r w:rsidR="00D07AC8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F3F4F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procedures)</w:t>
            </w:r>
            <w:r w:rsidR="00301AB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0E6D6E32" w14:textId="77777777" w:rsidR="002B7388" w:rsidRPr="00776ED3" w:rsidRDefault="00AF3F4F" w:rsidP="0063740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316DE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 following rules an</w:t>
            </w:r>
            <w:r w:rsidR="00BF477F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 conditions 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shall be taken into consideration </w:t>
            </w:r>
            <w:r w:rsidR="00BF477F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during the h</w:t>
            </w:r>
            <w:r w:rsidR="003B623F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earing:</w:t>
            </w:r>
          </w:p>
          <w:p w14:paraId="6F5ADB59" w14:textId="77777777" w:rsidR="0071363B" w:rsidRPr="00776ED3" w:rsidRDefault="0071363B" w:rsidP="0063740D">
            <w:pPr>
              <w:pStyle w:val="ListeParagraf"/>
              <w:numPr>
                <w:ilvl w:val="0"/>
                <w:numId w:val="3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Each party should nominate a representative to talk on their behalf</w:t>
            </w:r>
            <w:r w:rsidR="005A6EBE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</w:p>
          <w:p w14:paraId="0B9DDCFF" w14:textId="77777777" w:rsidR="00DF6917" w:rsidRPr="00776ED3" w:rsidRDefault="005A6EBE" w:rsidP="00301ABD">
            <w:pPr>
              <w:pStyle w:val="ListeParagraf"/>
              <w:numPr>
                <w:ilvl w:val="0"/>
                <w:numId w:val="3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Each </w:t>
            </w:r>
            <w:r w:rsidR="007342D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F6AF9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will be given no longer than 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minutes</w:t>
            </w:r>
            <w:r w:rsidR="00822E6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87BD0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 </w:t>
            </w:r>
            <w:r w:rsidR="00301ABD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his/her argument</w:t>
            </w: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4233D942" w14:textId="77777777" w:rsidR="00D51706" w:rsidRPr="00776ED3" w:rsidRDefault="00D51706" w:rsidP="0063740D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All </w:t>
            </w:r>
            <w:r w:rsidR="00087BD0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participants are invited to </w:t>
            </w:r>
            <w:r w:rsidR="00201447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abide by the rules and instructions.</w:t>
            </w:r>
          </w:p>
          <w:p w14:paraId="5A22A2C6" w14:textId="08F1D076" w:rsidR="0071363B" w:rsidRPr="00402B9A" w:rsidRDefault="0071363B" w:rsidP="00402B9A">
            <w:pPr>
              <w:pStyle w:val="ListeParagraf"/>
              <w:numPr>
                <w:ilvl w:val="0"/>
                <w:numId w:val="2"/>
              </w:numPr>
              <w:ind w:left="74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GCC-TSAIP </w:t>
            </w:r>
            <w:r w:rsidR="000D2CFC" w:rsidRPr="00776E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held no responsibility of 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402B9A" w:rsidRP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echnical 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402B9A" w:rsidRP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ifficulties</w:t>
            </w:r>
            <w:r w:rsidR="00402B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during the public hearing.</w:t>
            </w:r>
          </w:p>
        </w:tc>
      </w:tr>
    </w:tbl>
    <w:p w14:paraId="00E33AB0" w14:textId="77777777" w:rsidR="00AE0E73" w:rsidRPr="00501CB8" w:rsidRDefault="00AE0E73" w:rsidP="00501CB8">
      <w:pPr>
        <w:tabs>
          <w:tab w:val="left" w:pos="3465"/>
        </w:tabs>
      </w:pPr>
    </w:p>
    <w:sectPr w:rsidR="00AE0E73" w:rsidRPr="00501CB8" w:rsidSect="009D0F28">
      <w:headerReference w:type="default" r:id="rId10"/>
      <w:pgSz w:w="12240" w:h="15840"/>
      <w:pgMar w:top="227" w:right="1134" w:bottom="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33CB" w14:textId="77777777" w:rsidR="00F23127" w:rsidRDefault="00F23127" w:rsidP="00DF6917">
      <w:pPr>
        <w:spacing w:after="0" w:line="240" w:lineRule="auto"/>
      </w:pPr>
      <w:r>
        <w:separator/>
      </w:r>
    </w:p>
  </w:endnote>
  <w:endnote w:type="continuationSeparator" w:id="0">
    <w:p w14:paraId="337006BE" w14:textId="77777777" w:rsidR="00F23127" w:rsidRDefault="00F23127" w:rsidP="00D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B1764" w14:textId="77777777" w:rsidR="00F23127" w:rsidRDefault="00F23127" w:rsidP="00DF6917">
      <w:pPr>
        <w:spacing w:after="0" w:line="240" w:lineRule="auto"/>
      </w:pPr>
      <w:r>
        <w:separator/>
      </w:r>
    </w:p>
  </w:footnote>
  <w:footnote w:type="continuationSeparator" w:id="0">
    <w:p w14:paraId="70AC52CE" w14:textId="77777777" w:rsidR="00F23127" w:rsidRDefault="00F23127" w:rsidP="00D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7559" w14:textId="77777777" w:rsidR="00501CB8" w:rsidRDefault="00501CB8" w:rsidP="00501CB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8AC"/>
    <w:multiLevelType w:val="hybridMultilevel"/>
    <w:tmpl w:val="4A32E97A"/>
    <w:lvl w:ilvl="0" w:tplc="8354A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58ED"/>
    <w:multiLevelType w:val="hybridMultilevel"/>
    <w:tmpl w:val="5680C2FA"/>
    <w:lvl w:ilvl="0" w:tplc="883E2F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97617A"/>
    <w:multiLevelType w:val="hybridMultilevel"/>
    <w:tmpl w:val="4816BFEC"/>
    <w:lvl w:ilvl="0" w:tplc="369E9E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73"/>
    <w:rsid w:val="00043CDA"/>
    <w:rsid w:val="0008342B"/>
    <w:rsid w:val="00083D9E"/>
    <w:rsid w:val="00087BD0"/>
    <w:rsid w:val="000D17A2"/>
    <w:rsid w:val="000D2CFC"/>
    <w:rsid w:val="0015523C"/>
    <w:rsid w:val="00181B13"/>
    <w:rsid w:val="001A297F"/>
    <w:rsid w:val="001C5B1B"/>
    <w:rsid w:val="001F3084"/>
    <w:rsid w:val="00201447"/>
    <w:rsid w:val="00291BA8"/>
    <w:rsid w:val="002B7388"/>
    <w:rsid w:val="002C4F60"/>
    <w:rsid w:val="002D120C"/>
    <w:rsid w:val="002E065D"/>
    <w:rsid w:val="002F1574"/>
    <w:rsid w:val="003018A9"/>
    <w:rsid w:val="00301ABD"/>
    <w:rsid w:val="003132A2"/>
    <w:rsid w:val="00316DED"/>
    <w:rsid w:val="00330348"/>
    <w:rsid w:val="00344411"/>
    <w:rsid w:val="003449B7"/>
    <w:rsid w:val="0035415E"/>
    <w:rsid w:val="00381AF1"/>
    <w:rsid w:val="00384541"/>
    <w:rsid w:val="003A47D7"/>
    <w:rsid w:val="003B623F"/>
    <w:rsid w:val="003E5014"/>
    <w:rsid w:val="00402B9A"/>
    <w:rsid w:val="0041300D"/>
    <w:rsid w:val="00421CE5"/>
    <w:rsid w:val="004227A3"/>
    <w:rsid w:val="00423F85"/>
    <w:rsid w:val="004330AA"/>
    <w:rsid w:val="004633D1"/>
    <w:rsid w:val="00465EAC"/>
    <w:rsid w:val="00483B7B"/>
    <w:rsid w:val="00484F22"/>
    <w:rsid w:val="004D0B76"/>
    <w:rsid w:val="00501CB8"/>
    <w:rsid w:val="00521D2B"/>
    <w:rsid w:val="005248EE"/>
    <w:rsid w:val="00544ADE"/>
    <w:rsid w:val="005620E6"/>
    <w:rsid w:val="005A6EBE"/>
    <w:rsid w:val="005B2698"/>
    <w:rsid w:val="005D641A"/>
    <w:rsid w:val="005F5C3E"/>
    <w:rsid w:val="0063740D"/>
    <w:rsid w:val="006541FF"/>
    <w:rsid w:val="00675A19"/>
    <w:rsid w:val="006D0ACE"/>
    <w:rsid w:val="006D4E6F"/>
    <w:rsid w:val="006F45F8"/>
    <w:rsid w:val="0071363B"/>
    <w:rsid w:val="007342DD"/>
    <w:rsid w:val="00776ED3"/>
    <w:rsid w:val="0079315A"/>
    <w:rsid w:val="007D7702"/>
    <w:rsid w:val="00822E6D"/>
    <w:rsid w:val="00870B07"/>
    <w:rsid w:val="008776CC"/>
    <w:rsid w:val="008860EC"/>
    <w:rsid w:val="008902FF"/>
    <w:rsid w:val="008B67CB"/>
    <w:rsid w:val="008E7246"/>
    <w:rsid w:val="008F6621"/>
    <w:rsid w:val="0095157F"/>
    <w:rsid w:val="009613AE"/>
    <w:rsid w:val="00962B48"/>
    <w:rsid w:val="009C5A78"/>
    <w:rsid w:val="009D0F28"/>
    <w:rsid w:val="009D5600"/>
    <w:rsid w:val="00A77831"/>
    <w:rsid w:val="00A817C8"/>
    <w:rsid w:val="00A81AC3"/>
    <w:rsid w:val="00A847D1"/>
    <w:rsid w:val="00AC406C"/>
    <w:rsid w:val="00AE0E73"/>
    <w:rsid w:val="00AF3F4F"/>
    <w:rsid w:val="00B12219"/>
    <w:rsid w:val="00B37C47"/>
    <w:rsid w:val="00B44F59"/>
    <w:rsid w:val="00B52C7B"/>
    <w:rsid w:val="00B63196"/>
    <w:rsid w:val="00BC5162"/>
    <w:rsid w:val="00BD5CA0"/>
    <w:rsid w:val="00BF477F"/>
    <w:rsid w:val="00C26807"/>
    <w:rsid w:val="00C272EB"/>
    <w:rsid w:val="00C6401E"/>
    <w:rsid w:val="00C9404E"/>
    <w:rsid w:val="00CE0DEF"/>
    <w:rsid w:val="00CF6AF9"/>
    <w:rsid w:val="00D03971"/>
    <w:rsid w:val="00D07AC8"/>
    <w:rsid w:val="00D12DAA"/>
    <w:rsid w:val="00D51706"/>
    <w:rsid w:val="00DF6917"/>
    <w:rsid w:val="00E74ED0"/>
    <w:rsid w:val="00E96E1E"/>
    <w:rsid w:val="00EC213B"/>
    <w:rsid w:val="00ED7740"/>
    <w:rsid w:val="00F23127"/>
    <w:rsid w:val="00F54BCB"/>
    <w:rsid w:val="00F73CCC"/>
    <w:rsid w:val="00F93FFB"/>
    <w:rsid w:val="00FA24C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5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917"/>
  </w:style>
  <w:style w:type="paragraph" w:styleId="Altbilgi">
    <w:name w:val="footer"/>
    <w:basedOn w:val="Normal"/>
    <w:link w:val="AltbilgiChar"/>
    <w:uiPriority w:val="99"/>
    <w:unhideWhenUsed/>
    <w:rsid w:val="00DF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917"/>
  </w:style>
  <w:style w:type="paragraph" w:styleId="ListeParagraf">
    <w:name w:val="List Paragraph"/>
    <w:basedOn w:val="Normal"/>
    <w:uiPriority w:val="34"/>
    <w:qFormat/>
    <w:rsid w:val="00870B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308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6917"/>
  </w:style>
  <w:style w:type="paragraph" w:styleId="Altbilgi">
    <w:name w:val="footer"/>
    <w:basedOn w:val="Normal"/>
    <w:link w:val="AltbilgiChar"/>
    <w:uiPriority w:val="99"/>
    <w:unhideWhenUsed/>
    <w:rsid w:val="00DF6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6917"/>
  </w:style>
  <w:style w:type="paragraph" w:styleId="ListeParagraf">
    <w:name w:val="List Paragraph"/>
    <w:basedOn w:val="Normal"/>
    <w:uiPriority w:val="34"/>
    <w:qFormat/>
    <w:rsid w:val="00870B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308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ad@gcc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 Armağan BİRGÜL</cp:lastModifiedBy>
  <cp:revision>2</cp:revision>
  <cp:lastPrinted>2016-10-06T08:38:00Z</cp:lastPrinted>
  <dcterms:created xsi:type="dcterms:W3CDTF">2021-12-31T07:58:00Z</dcterms:created>
  <dcterms:modified xsi:type="dcterms:W3CDTF">2021-12-31T07:58:00Z</dcterms:modified>
</cp:coreProperties>
</file>