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4EC73" w14:textId="77777777" w:rsidR="00467961" w:rsidRPr="00E6666E" w:rsidRDefault="00467961" w:rsidP="00467961">
      <w:pPr>
        <w:spacing w:after="0" w:line="240" w:lineRule="auto"/>
        <w:rPr>
          <w:rStyle w:val="y2iqfc"/>
          <w:rFonts w:cstheme="minorHAnsi"/>
          <w:b/>
          <w:sz w:val="24"/>
          <w:szCs w:val="24"/>
        </w:rPr>
      </w:pPr>
      <w:bookmarkStart w:id="0" w:name="_GoBack"/>
      <w:bookmarkEnd w:id="0"/>
      <w:r w:rsidRPr="00E6666E">
        <w:rPr>
          <w:rStyle w:val="y2iqfc"/>
          <w:rFonts w:cstheme="minorHAnsi"/>
          <w:b/>
          <w:sz w:val="24"/>
          <w:szCs w:val="24"/>
        </w:rPr>
        <w:t>T.C. Ticaret Bakanlığı</w:t>
      </w:r>
    </w:p>
    <w:p w14:paraId="7DAFCFD1" w14:textId="77777777" w:rsidR="00467961" w:rsidRPr="00E6666E" w:rsidRDefault="00467961" w:rsidP="00467961">
      <w:pPr>
        <w:spacing w:after="0" w:line="240" w:lineRule="auto"/>
        <w:rPr>
          <w:rStyle w:val="y2iqfc"/>
          <w:rFonts w:cstheme="minorHAnsi"/>
          <w:b/>
          <w:sz w:val="24"/>
          <w:szCs w:val="24"/>
        </w:rPr>
      </w:pPr>
      <w:r w:rsidRPr="00E6666E">
        <w:rPr>
          <w:rStyle w:val="y2iqfc"/>
          <w:rFonts w:cstheme="minorHAnsi"/>
          <w:b/>
          <w:sz w:val="24"/>
          <w:szCs w:val="24"/>
        </w:rPr>
        <w:t>Uluslararası Anlaşmalar ve AB Genel Müdürlüğü</w:t>
      </w:r>
    </w:p>
    <w:p w14:paraId="5CC46F2C" w14:textId="77777777" w:rsidR="00467961" w:rsidRPr="00E6666E" w:rsidRDefault="00467961" w:rsidP="00467961">
      <w:pPr>
        <w:spacing w:line="240" w:lineRule="auto"/>
        <w:rPr>
          <w:rStyle w:val="y2iqfc"/>
          <w:rFonts w:cstheme="minorHAnsi"/>
          <w:b/>
          <w:sz w:val="24"/>
          <w:szCs w:val="24"/>
        </w:rPr>
      </w:pPr>
      <w:r w:rsidRPr="00E6666E">
        <w:rPr>
          <w:rStyle w:val="y2iqfc"/>
          <w:rFonts w:cstheme="minorHAnsi"/>
          <w:b/>
          <w:sz w:val="24"/>
          <w:szCs w:val="24"/>
        </w:rPr>
        <w:t>AB Tek Pazar ve Yeşil Mutabakatı Dairesi</w:t>
      </w:r>
    </w:p>
    <w:p w14:paraId="76E9DAB3" w14:textId="77777777" w:rsidR="00467961" w:rsidRPr="00E6666E" w:rsidRDefault="00467961" w:rsidP="00467961">
      <w:pPr>
        <w:spacing w:line="240" w:lineRule="auto"/>
        <w:jc w:val="center"/>
        <w:rPr>
          <w:rStyle w:val="y2iqfc"/>
          <w:rFonts w:cstheme="minorHAnsi"/>
          <w:b/>
          <w:sz w:val="24"/>
          <w:szCs w:val="24"/>
        </w:rPr>
      </w:pPr>
    </w:p>
    <w:p w14:paraId="0477FE91" w14:textId="77777777" w:rsidR="00467961" w:rsidRPr="00E6666E" w:rsidRDefault="00467961" w:rsidP="00467961">
      <w:pPr>
        <w:spacing w:line="240" w:lineRule="auto"/>
        <w:jc w:val="center"/>
        <w:rPr>
          <w:rStyle w:val="y2iqfc"/>
          <w:rFonts w:cstheme="minorHAnsi"/>
          <w:b/>
          <w:sz w:val="24"/>
          <w:szCs w:val="24"/>
        </w:rPr>
      </w:pPr>
      <w:r w:rsidRPr="00E6666E">
        <w:rPr>
          <w:rStyle w:val="y2iqfc"/>
          <w:rFonts w:cstheme="minorHAnsi"/>
          <w:b/>
          <w:sz w:val="24"/>
          <w:szCs w:val="24"/>
        </w:rPr>
        <w:t>Yeşil Mutabakat Sanayi Planı</w:t>
      </w:r>
    </w:p>
    <w:p w14:paraId="76A21937" w14:textId="75887349" w:rsidR="00B764D6" w:rsidRPr="00467961" w:rsidRDefault="00467961" w:rsidP="00467961">
      <w:pPr>
        <w:jc w:val="both"/>
        <w:rPr>
          <w:rFonts w:cstheme="minorHAnsi"/>
          <w:sz w:val="24"/>
          <w:szCs w:val="24"/>
        </w:rPr>
      </w:pPr>
      <w:r w:rsidRPr="00467961">
        <w:rPr>
          <w:rFonts w:cstheme="minorHAnsi"/>
          <w:sz w:val="24"/>
          <w:szCs w:val="24"/>
        </w:rPr>
        <w:t xml:space="preserve">Avrupa'nın net sıfır emisyon hedefini sağlamak, sanayi rekabet gücünü artırmak ve iklim nötr hedefine hızlı geçişi desteklemek için 1 Şubat 2023 tarihinde Avrupa Komisyonu Başkanı </w:t>
      </w:r>
      <w:proofErr w:type="spellStart"/>
      <w:r w:rsidRPr="00467961">
        <w:rPr>
          <w:rFonts w:cstheme="minorHAnsi"/>
          <w:sz w:val="24"/>
          <w:szCs w:val="24"/>
        </w:rPr>
        <w:t>Ursula</w:t>
      </w:r>
      <w:proofErr w:type="spellEnd"/>
      <w:r w:rsidRPr="00467961">
        <w:rPr>
          <w:rFonts w:cstheme="minorHAnsi"/>
          <w:sz w:val="24"/>
          <w:szCs w:val="24"/>
        </w:rPr>
        <w:t xml:space="preserve"> </w:t>
      </w:r>
      <w:proofErr w:type="spellStart"/>
      <w:r w:rsidRPr="00467961">
        <w:rPr>
          <w:rFonts w:cstheme="minorHAnsi"/>
          <w:sz w:val="24"/>
          <w:szCs w:val="24"/>
        </w:rPr>
        <w:t>von</w:t>
      </w:r>
      <w:proofErr w:type="spellEnd"/>
      <w:r w:rsidRPr="00467961">
        <w:rPr>
          <w:rFonts w:cstheme="minorHAnsi"/>
          <w:sz w:val="24"/>
          <w:szCs w:val="24"/>
        </w:rPr>
        <w:t xml:space="preserve"> der </w:t>
      </w:r>
      <w:proofErr w:type="spellStart"/>
      <w:r w:rsidRPr="00467961">
        <w:rPr>
          <w:rFonts w:cstheme="minorHAnsi"/>
          <w:sz w:val="24"/>
          <w:szCs w:val="24"/>
        </w:rPr>
        <w:t>Leyen</w:t>
      </w:r>
      <w:proofErr w:type="spellEnd"/>
      <w:r w:rsidRPr="00467961">
        <w:rPr>
          <w:rFonts w:cstheme="minorHAnsi"/>
          <w:sz w:val="24"/>
          <w:szCs w:val="24"/>
        </w:rPr>
        <w:t xml:space="preserve"> tarafından “Yeşil Mutabakat Sanayi Planı” açıklanmış olup, Sanayi Planı’nın amacının,</w:t>
      </w:r>
    </w:p>
    <w:p w14:paraId="513F34A4" w14:textId="77777777" w:rsidR="00467961" w:rsidRPr="00467961" w:rsidRDefault="00467961" w:rsidP="00467961">
      <w:pPr>
        <w:pStyle w:val="AklamaMetni"/>
        <w:spacing w:after="120"/>
        <w:ind w:left="0" w:firstLine="0"/>
        <w:rPr>
          <w:rFonts w:asciiTheme="minorHAnsi" w:hAnsiTheme="minorHAnsi" w:cstheme="minorHAnsi"/>
          <w:color w:val="auto"/>
          <w:sz w:val="24"/>
          <w:szCs w:val="24"/>
        </w:rPr>
      </w:pPr>
      <w:r w:rsidRPr="00467961">
        <w:rPr>
          <w:rFonts w:asciiTheme="minorHAnsi" w:hAnsiTheme="minorHAnsi" w:cstheme="minorHAnsi"/>
          <w:color w:val="auto"/>
          <w:sz w:val="24"/>
          <w:szCs w:val="24"/>
        </w:rPr>
        <w:t>- AB’nin yeşil teknolojilerin gelişimi için lider konumunun korunması ve yatırım için cazibesinin muhafaza edilmesi,</w:t>
      </w:r>
    </w:p>
    <w:p w14:paraId="0EBBAF42" w14:textId="7322AA84" w:rsidR="00467961" w:rsidRPr="00467961" w:rsidRDefault="00467961" w:rsidP="00467961">
      <w:pPr>
        <w:jc w:val="both"/>
        <w:rPr>
          <w:rFonts w:cstheme="minorHAnsi"/>
          <w:sz w:val="24"/>
          <w:szCs w:val="24"/>
        </w:rPr>
      </w:pPr>
      <w:r w:rsidRPr="00467961">
        <w:rPr>
          <w:rFonts w:cstheme="minorHAnsi"/>
          <w:sz w:val="24"/>
          <w:szCs w:val="24"/>
        </w:rPr>
        <w:t>- 2030 yılına kadar yılda yaklaşık, günümüz seviyesinin üç katından fazla olan 600 Milyar Euro değerine ulaşacağı öngörülen yenilenebilir enerji ve fosil yakıtsız hidrojen kaynağının kullanılması gibi temiz enerji pazarına yönelik yatırımların yapılarak, uluslararası iş birliklerinin geliştirilmesi</w:t>
      </w:r>
    </w:p>
    <w:p w14:paraId="24A791D6" w14:textId="4B9280D4" w:rsidR="00467961" w:rsidRDefault="00467961" w:rsidP="00467961">
      <w:pPr>
        <w:spacing w:after="120" w:line="240" w:lineRule="auto"/>
        <w:jc w:val="both"/>
        <w:rPr>
          <w:rFonts w:cstheme="minorHAnsi"/>
          <w:sz w:val="24"/>
          <w:szCs w:val="24"/>
        </w:rPr>
      </w:pPr>
      <w:r w:rsidRPr="00467961">
        <w:rPr>
          <w:rFonts w:cstheme="minorHAnsi"/>
          <w:sz w:val="24"/>
          <w:szCs w:val="24"/>
        </w:rPr>
        <w:t>- Yeşil dönüşüm projelerine 2032 yılına kadar 330 Milyar Euro kaynak ayıracak olan ABD ve 140 milyar kaynak ayıracak olan Japonya başta olmak üzere, Hindistan, Birleşik Krallık, Kanada gibi ülkelerin yeşil dönüşüme yönelik teknolojik gelişmeler için ayırdıkları kaynağın gerisinde kalınmaması,</w:t>
      </w:r>
    </w:p>
    <w:p w14:paraId="43096D59" w14:textId="5D54E5E2" w:rsidR="00467961" w:rsidRDefault="00467961" w:rsidP="00467961">
      <w:pPr>
        <w:spacing w:after="120" w:line="240" w:lineRule="auto"/>
        <w:jc w:val="both"/>
        <w:rPr>
          <w:rFonts w:eastAsia="Times New Roman" w:cstheme="minorHAnsi"/>
          <w:sz w:val="24"/>
          <w:szCs w:val="24"/>
        </w:rPr>
      </w:pPr>
      <w:r>
        <w:rPr>
          <w:rFonts w:cstheme="minorHAnsi"/>
          <w:sz w:val="24"/>
          <w:szCs w:val="24"/>
        </w:rPr>
        <w:t xml:space="preserve">- </w:t>
      </w:r>
      <w:r w:rsidRPr="00E6666E">
        <w:rPr>
          <w:rFonts w:cstheme="minorHAnsi"/>
          <w:sz w:val="24"/>
          <w:szCs w:val="24"/>
        </w:rPr>
        <w:t>Yeşil teknoloji ve sanayii için beş yıllık plan dahilinde 260 Milyar Euro kaynak</w:t>
      </w:r>
      <w:r>
        <w:rPr>
          <w:rFonts w:cstheme="minorHAnsi"/>
          <w:sz w:val="24"/>
          <w:szCs w:val="24"/>
        </w:rPr>
        <w:t xml:space="preserve"> ile </w:t>
      </w:r>
      <w:r w:rsidRPr="00E6666E">
        <w:rPr>
          <w:rFonts w:cstheme="minorHAnsi"/>
          <w:sz w:val="24"/>
          <w:szCs w:val="24"/>
        </w:rPr>
        <w:t>AB’den GSYİH oranına göre iki kat devlet yardımı veren</w:t>
      </w:r>
      <w:r>
        <w:rPr>
          <w:rFonts w:cstheme="minorHAnsi"/>
          <w:sz w:val="24"/>
          <w:szCs w:val="24"/>
        </w:rPr>
        <w:t xml:space="preserve"> </w:t>
      </w:r>
      <w:r w:rsidRPr="00E6666E">
        <w:rPr>
          <w:rFonts w:cstheme="minorHAnsi"/>
          <w:sz w:val="24"/>
          <w:szCs w:val="24"/>
        </w:rPr>
        <w:t>Çin gibi</w:t>
      </w:r>
      <w:r>
        <w:rPr>
          <w:rFonts w:cstheme="minorHAnsi"/>
          <w:sz w:val="24"/>
          <w:szCs w:val="24"/>
        </w:rPr>
        <w:t xml:space="preserve"> </w:t>
      </w:r>
      <w:r w:rsidRPr="00E6666E">
        <w:rPr>
          <w:rFonts w:cstheme="minorHAnsi"/>
          <w:sz w:val="24"/>
          <w:szCs w:val="24"/>
        </w:rPr>
        <w:t xml:space="preserve">ülkelerin rekabeti bozucu </w:t>
      </w:r>
      <w:r w:rsidRPr="008748E2">
        <w:rPr>
          <w:rFonts w:eastAsia="Times New Roman" w:cstheme="minorHAnsi"/>
          <w:sz w:val="24"/>
          <w:szCs w:val="24"/>
        </w:rPr>
        <w:t xml:space="preserve">sübvansiyonların </w:t>
      </w:r>
      <w:r>
        <w:rPr>
          <w:rFonts w:eastAsia="Times New Roman" w:cstheme="minorHAnsi"/>
          <w:sz w:val="24"/>
          <w:szCs w:val="24"/>
        </w:rPr>
        <w:t xml:space="preserve">engellenmesine yönelik adımlar ile </w:t>
      </w:r>
      <w:r w:rsidRPr="00E6666E">
        <w:rPr>
          <w:rFonts w:eastAsia="Times New Roman" w:cstheme="minorHAnsi"/>
          <w:sz w:val="24"/>
          <w:szCs w:val="24"/>
        </w:rPr>
        <w:t>Tek Pazar’ın korunması için ticari savunma araçlarından yararlanmaya devam edil</w:t>
      </w:r>
      <w:r>
        <w:rPr>
          <w:rFonts w:eastAsia="Times New Roman" w:cstheme="minorHAnsi"/>
          <w:sz w:val="24"/>
          <w:szCs w:val="24"/>
        </w:rPr>
        <w:t>mesi,</w:t>
      </w:r>
    </w:p>
    <w:p w14:paraId="4E6526CC" w14:textId="14952AA2" w:rsidR="00467961" w:rsidRDefault="00467961" w:rsidP="00467961">
      <w:pPr>
        <w:spacing w:after="120" w:line="240" w:lineRule="auto"/>
        <w:jc w:val="both"/>
        <w:rPr>
          <w:rFonts w:cstheme="minorHAnsi"/>
          <w:sz w:val="24"/>
          <w:szCs w:val="24"/>
        </w:rPr>
      </w:pPr>
      <w:r>
        <w:rPr>
          <w:rFonts w:cstheme="minorHAnsi"/>
          <w:sz w:val="24"/>
          <w:szCs w:val="24"/>
        </w:rPr>
        <w:t>- Y</w:t>
      </w:r>
      <w:r w:rsidRPr="00E6666E">
        <w:rPr>
          <w:rFonts w:cstheme="minorHAnsi"/>
          <w:sz w:val="24"/>
          <w:szCs w:val="24"/>
        </w:rPr>
        <w:t>eşil dönüşüm sürecinde rekabetçiliğin sağlanmasına yönelik politikaların ve finansman mekanizmalarının şekillendirilmesi olduğu görülmektedir.</w:t>
      </w:r>
    </w:p>
    <w:p w14:paraId="3991367C" w14:textId="41B3A6D0" w:rsidR="00467961" w:rsidRDefault="00467961" w:rsidP="00467961">
      <w:pPr>
        <w:spacing w:after="120" w:line="240" w:lineRule="auto"/>
        <w:jc w:val="both"/>
        <w:rPr>
          <w:rStyle w:val="y2iqfc"/>
          <w:rFonts w:cstheme="minorHAnsi"/>
          <w:sz w:val="24"/>
          <w:szCs w:val="24"/>
        </w:rPr>
      </w:pPr>
      <w:r w:rsidRPr="00E6666E">
        <w:rPr>
          <w:rFonts w:cstheme="minorHAnsi"/>
          <w:sz w:val="24"/>
          <w:szCs w:val="24"/>
        </w:rPr>
        <w:t xml:space="preserve">- Ayrıca, sanayi sektörünün yeşil dönüşümü ve rekabet edebilirliğini ve ekonominin dönüşümüne yönelik yatırımları sağlamak için, Avrupa Komisyonu tarafından daha öncesinde açıklanan </w:t>
      </w:r>
      <w:r>
        <w:rPr>
          <w:rFonts w:cstheme="minorHAnsi"/>
          <w:sz w:val="24"/>
          <w:szCs w:val="24"/>
        </w:rPr>
        <w:t xml:space="preserve">Batarya ve Batarya Atıkları Tüzük Taslağı </w:t>
      </w:r>
      <w:r w:rsidRPr="00E6666E">
        <w:rPr>
          <w:rFonts w:cstheme="minorHAnsi"/>
          <w:sz w:val="24"/>
          <w:szCs w:val="24"/>
        </w:rPr>
        <w:t xml:space="preserve">ve Sürdürülebilir Ürünler için Eko Tasarım </w:t>
      </w:r>
      <w:r>
        <w:rPr>
          <w:rFonts w:cstheme="minorHAnsi"/>
          <w:sz w:val="24"/>
          <w:szCs w:val="24"/>
        </w:rPr>
        <w:t>Tüzüğü Taslağı</w:t>
      </w:r>
      <w:r w:rsidRPr="00E6666E">
        <w:rPr>
          <w:rFonts w:cstheme="minorHAnsi"/>
          <w:sz w:val="24"/>
          <w:szCs w:val="24"/>
        </w:rPr>
        <w:t xml:space="preserve"> gibi düzenlemeleriyle birlikte net bir politika çerçevesi sağlanmış olup; </w:t>
      </w:r>
      <w:r w:rsidRPr="00E6666E">
        <w:rPr>
          <w:rStyle w:val="y2iqfc"/>
          <w:rFonts w:cstheme="minorHAnsi"/>
          <w:sz w:val="24"/>
          <w:szCs w:val="24"/>
        </w:rPr>
        <w:t>planın, Avrupa Yeşil Mutabakatı, AB Sanayi stratejisi ve özellikle Döngüsel Ekonomi Eylem Planı kapsamında sanayiyi dönüştürmeye yönelik sürdürülen çabaları tamamlaması öngörülmektedir.</w:t>
      </w:r>
    </w:p>
    <w:p w14:paraId="11A7A84C" w14:textId="77777777" w:rsidR="00467961" w:rsidRPr="00E6666E" w:rsidRDefault="00467961" w:rsidP="00467961">
      <w:pPr>
        <w:pStyle w:val="AklamaMetni"/>
        <w:spacing w:after="120"/>
        <w:ind w:left="0" w:firstLine="0"/>
        <w:rPr>
          <w:rFonts w:asciiTheme="minorHAnsi" w:hAnsiTheme="minorHAnsi" w:cstheme="minorHAnsi"/>
          <w:color w:val="auto"/>
          <w:sz w:val="24"/>
          <w:szCs w:val="24"/>
        </w:rPr>
      </w:pPr>
      <w:r w:rsidRPr="00E6666E">
        <w:rPr>
          <w:rFonts w:asciiTheme="minorHAnsi" w:hAnsiTheme="minorHAnsi" w:cstheme="minorHAnsi"/>
          <w:color w:val="auto"/>
          <w:sz w:val="24"/>
          <w:szCs w:val="24"/>
        </w:rPr>
        <w:t>Yeşil Mutabakat Sanayi Planı, öngörülebilir, uyumlu ve basitleştirilmiş bir idari çerçeve, finansmana erişimin kolaylaştırılması, becerilerin geliştirilmesi ve dayanıklı tedarik zincirleri için açık ticaret başlıkları olmak üzere dört temel eksenden oluşmaktadır.</w:t>
      </w:r>
    </w:p>
    <w:p w14:paraId="67F014F8" w14:textId="77777777" w:rsidR="00467961" w:rsidRPr="00E6666E" w:rsidRDefault="00467961" w:rsidP="00467961">
      <w:pPr>
        <w:spacing w:line="240" w:lineRule="auto"/>
        <w:jc w:val="both"/>
        <w:rPr>
          <w:rFonts w:cstheme="minorHAnsi"/>
          <w:b/>
          <w:sz w:val="24"/>
          <w:szCs w:val="24"/>
        </w:rPr>
      </w:pPr>
      <w:r w:rsidRPr="00E6666E">
        <w:rPr>
          <w:rFonts w:cstheme="minorHAnsi"/>
          <w:b/>
          <w:sz w:val="24"/>
          <w:szCs w:val="24"/>
        </w:rPr>
        <w:t xml:space="preserve">Öngörülebilir, Uyumlu ve Basitleştirilmiş Bir İdari Çerçeve </w:t>
      </w:r>
      <w:r w:rsidRPr="00E6666E">
        <w:rPr>
          <w:rFonts w:cstheme="minorHAnsi"/>
          <w:bCs/>
          <w:sz w:val="24"/>
          <w:szCs w:val="24"/>
        </w:rPr>
        <w:t>oluşturulması başlığında,</w:t>
      </w:r>
    </w:p>
    <w:p w14:paraId="00615221" w14:textId="77777777" w:rsidR="00467961" w:rsidRPr="00E6666E" w:rsidRDefault="00467961" w:rsidP="00467961">
      <w:pPr>
        <w:pStyle w:val="HTMLncedenBiimlendirilmi"/>
        <w:spacing w:after="120"/>
        <w:jc w:val="both"/>
        <w:rPr>
          <w:rStyle w:val="y2iqfc"/>
          <w:rFonts w:asciiTheme="minorHAnsi" w:hAnsiTheme="minorHAnsi" w:cstheme="minorHAnsi"/>
          <w:sz w:val="24"/>
          <w:szCs w:val="24"/>
        </w:rPr>
      </w:pPr>
      <w:r w:rsidRPr="00E6666E">
        <w:rPr>
          <w:rFonts w:asciiTheme="minorHAnsi" w:hAnsiTheme="minorHAnsi" w:cstheme="minorHAnsi"/>
          <w:sz w:val="24"/>
          <w:szCs w:val="24"/>
        </w:rPr>
        <w:t>2023 bahar ay</w:t>
      </w:r>
      <w:r>
        <w:rPr>
          <w:rFonts w:asciiTheme="minorHAnsi" w:hAnsiTheme="minorHAnsi" w:cstheme="minorHAnsi"/>
          <w:sz w:val="24"/>
          <w:szCs w:val="24"/>
        </w:rPr>
        <w:t>lar</w:t>
      </w:r>
      <w:r w:rsidRPr="00E6666E">
        <w:rPr>
          <w:rFonts w:asciiTheme="minorHAnsi" w:hAnsiTheme="minorHAnsi" w:cstheme="minorHAnsi"/>
          <w:sz w:val="24"/>
          <w:szCs w:val="24"/>
        </w:rPr>
        <w:t>ında Avrupa Komisyonu tarafından reform ihtiyacına dayanan endüstriyel rekabet edebilirlik için üç temel öneri sunacağı belirtilmiş olup bu kapsamda</w:t>
      </w:r>
      <w:r w:rsidRPr="00E6666E">
        <w:rPr>
          <w:rFonts w:asciiTheme="minorHAnsi" w:hAnsiTheme="minorHAnsi" w:cstheme="minorHAnsi"/>
          <w:sz w:val="24"/>
          <w:szCs w:val="24"/>
          <w:shd w:val="clear" w:color="auto" w:fill="F8F9FA"/>
        </w:rPr>
        <w:t>,</w:t>
      </w:r>
    </w:p>
    <w:p w14:paraId="366260C2" w14:textId="77777777" w:rsidR="00D3338D" w:rsidRDefault="00467961" w:rsidP="00A4470F">
      <w:pPr>
        <w:pStyle w:val="ListeParagraf"/>
        <w:numPr>
          <w:ilvl w:val="0"/>
          <w:numId w:val="1"/>
        </w:numPr>
        <w:spacing w:line="240" w:lineRule="auto"/>
        <w:jc w:val="both"/>
        <w:rPr>
          <w:rStyle w:val="y2iqfc"/>
          <w:rFonts w:cstheme="minorHAnsi"/>
          <w:sz w:val="24"/>
          <w:szCs w:val="24"/>
        </w:rPr>
        <w:sectPr w:rsidR="00D3338D">
          <w:footerReference w:type="default" r:id="rId7"/>
          <w:pgSz w:w="11906" w:h="16838"/>
          <w:pgMar w:top="1417" w:right="1417" w:bottom="1417" w:left="1417" w:header="708" w:footer="708" w:gutter="0"/>
          <w:cols w:space="708"/>
          <w:docGrid w:linePitch="360"/>
        </w:sectPr>
      </w:pPr>
      <w:r w:rsidRPr="00E6666E">
        <w:rPr>
          <w:rStyle w:val="y2iqfc"/>
          <w:rFonts w:cstheme="minorHAnsi"/>
          <w:b/>
          <w:sz w:val="24"/>
          <w:szCs w:val="24"/>
        </w:rPr>
        <w:t>Net Sıfır Sanayi Yasası</w:t>
      </w:r>
      <w:r w:rsidRPr="00E6666E">
        <w:rPr>
          <w:rStyle w:val="y2iqfc"/>
          <w:rFonts w:cstheme="minorHAnsi"/>
          <w:sz w:val="24"/>
          <w:szCs w:val="24"/>
        </w:rPr>
        <w:t xml:space="preserve"> hazırlanarak, bataryalar, yel değirmenleri, ısı pompaları, güneş enerjisi, </w:t>
      </w:r>
      <w:proofErr w:type="spellStart"/>
      <w:r w:rsidRPr="00E6666E">
        <w:rPr>
          <w:rStyle w:val="y2iqfc"/>
          <w:rFonts w:cstheme="minorHAnsi"/>
          <w:sz w:val="24"/>
          <w:szCs w:val="24"/>
        </w:rPr>
        <w:t>elektrolizörler</w:t>
      </w:r>
      <w:proofErr w:type="spellEnd"/>
      <w:r w:rsidRPr="00E6666E">
        <w:rPr>
          <w:rStyle w:val="y2iqfc"/>
          <w:rFonts w:cstheme="minorHAnsi"/>
          <w:sz w:val="24"/>
          <w:szCs w:val="24"/>
        </w:rPr>
        <w:t xml:space="preserve">, karbon yakalama ve depolama teknolojileri gibi iklim nötr olma hedeflerini karşılamak için önemli olan ürünlerin üretim kapasiteleri için basitleştirilmiş </w:t>
      </w:r>
    </w:p>
    <w:p w14:paraId="7E98F923" w14:textId="11564A05" w:rsidR="00467961" w:rsidRPr="00467961" w:rsidRDefault="00467961" w:rsidP="00A4470F">
      <w:pPr>
        <w:pStyle w:val="ListeParagraf"/>
        <w:numPr>
          <w:ilvl w:val="0"/>
          <w:numId w:val="1"/>
        </w:numPr>
        <w:spacing w:line="240" w:lineRule="auto"/>
        <w:jc w:val="both"/>
        <w:rPr>
          <w:rStyle w:val="y2iqfc"/>
          <w:rFonts w:cstheme="minorHAnsi"/>
          <w:color w:val="FF0000"/>
          <w:sz w:val="24"/>
          <w:szCs w:val="24"/>
          <w:u w:val="single"/>
        </w:rPr>
      </w:pPr>
      <w:proofErr w:type="gramStart"/>
      <w:r w:rsidRPr="00E6666E">
        <w:rPr>
          <w:rStyle w:val="y2iqfc"/>
          <w:rFonts w:cstheme="minorHAnsi"/>
          <w:sz w:val="24"/>
          <w:szCs w:val="24"/>
        </w:rPr>
        <w:lastRenderedPageBreak/>
        <w:t>düzenleyici</w:t>
      </w:r>
      <w:proofErr w:type="gramEnd"/>
      <w:r w:rsidRPr="00E6666E">
        <w:rPr>
          <w:rStyle w:val="y2iqfc"/>
          <w:rFonts w:cstheme="minorHAnsi"/>
          <w:sz w:val="24"/>
          <w:szCs w:val="24"/>
        </w:rPr>
        <w:t xml:space="preserve"> çerçeve sağlanması, </w:t>
      </w:r>
      <w:r w:rsidRPr="00E6666E">
        <w:rPr>
          <w:rFonts w:cstheme="minorHAnsi"/>
          <w:sz w:val="24"/>
          <w:szCs w:val="24"/>
        </w:rPr>
        <w:t xml:space="preserve">2030 yılına kadar sanayi kapasitesine yönelik hedefler belirlenerek, öncelikli alanlarda izin prosedürlerinin öngörülebilir olacak şekilde kolaylaştırılması amaçlanmaktadır. </w:t>
      </w:r>
      <w:r w:rsidRPr="00E6666E">
        <w:rPr>
          <w:rStyle w:val="y2iqfc"/>
          <w:rFonts w:cstheme="minorHAnsi"/>
          <w:sz w:val="24"/>
          <w:szCs w:val="24"/>
        </w:rPr>
        <w:t xml:space="preserve">Kesin ürün </w:t>
      </w:r>
      <w:r w:rsidRPr="00467961">
        <w:rPr>
          <w:rStyle w:val="y2iqfc"/>
          <w:rFonts w:cstheme="minorHAnsi"/>
          <w:sz w:val="24"/>
          <w:szCs w:val="24"/>
        </w:rPr>
        <w:t>kapsamı henüz tanımlanmamakla birlikte, teknoloji tarafsızlığını bir başlangıç ​​noktası olarak alan yasanın;</w:t>
      </w:r>
      <w:r w:rsidR="000C0242">
        <w:rPr>
          <w:rStyle w:val="y2iqfc"/>
          <w:rFonts w:cstheme="minorHAnsi"/>
          <w:sz w:val="24"/>
          <w:szCs w:val="24"/>
        </w:rPr>
        <w:t xml:space="preserve"> farklı </w:t>
      </w:r>
      <w:r w:rsidR="00A4470F">
        <w:rPr>
          <w:rStyle w:val="y2iqfc"/>
          <w:rFonts w:cstheme="minorHAnsi"/>
          <w:sz w:val="24"/>
          <w:szCs w:val="24"/>
        </w:rPr>
        <w:t>net-sıfır ürün türlerinin üretim yatırımlarının stratejik önemine ve bu yatırımların belirlenen ihtiyaçlarına dayanması öngörülmektedir.</w:t>
      </w:r>
    </w:p>
    <w:p w14:paraId="4D9AC034" w14:textId="3FFA8058" w:rsidR="00467961" w:rsidRPr="00467961" w:rsidRDefault="00467961" w:rsidP="00467961">
      <w:pPr>
        <w:pStyle w:val="HTMLncedenBiimlendirilmi"/>
        <w:numPr>
          <w:ilvl w:val="0"/>
          <w:numId w:val="1"/>
        </w:numPr>
        <w:spacing w:after="120"/>
        <w:ind w:left="714" w:hanging="357"/>
        <w:jc w:val="both"/>
        <w:rPr>
          <w:rStyle w:val="y2iqfc"/>
          <w:rFonts w:asciiTheme="minorHAnsi" w:hAnsiTheme="minorHAnsi" w:cstheme="minorHAnsi"/>
          <w:color w:val="FF0000"/>
          <w:sz w:val="24"/>
          <w:szCs w:val="24"/>
        </w:rPr>
      </w:pPr>
      <w:r w:rsidRPr="00E6666E">
        <w:rPr>
          <w:rStyle w:val="y2iqfc"/>
          <w:rFonts w:asciiTheme="minorHAnsi" w:hAnsiTheme="minorHAnsi" w:cstheme="minorHAnsi"/>
          <w:sz w:val="24"/>
          <w:szCs w:val="24"/>
        </w:rPr>
        <w:t>AB'nin üçüncü ülkelerden gelen tedariklere olan bağımlılığını azaltmak ve döngüsel ekonomideki kaliteli işleri ve büyümeyi artırmak için kaynak bulmayı çeşitlendirme ve hammaddelerin geri dönüştürülmesi de dahil olmak üzere, AB net-sıfır teknolojilerinin üretiminin ilgili kritik ham maddelere erişim sağlandığında mümkün olabileceği</w:t>
      </w:r>
      <w:r w:rsidR="00A4470F">
        <w:rPr>
          <w:rStyle w:val="y2iqfc"/>
          <w:rFonts w:asciiTheme="minorHAnsi" w:hAnsiTheme="minorHAnsi" w:cstheme="minorHAnsi"/>
          <w:sz w:val="24"/>
          <w:szCs w:val="24"/>
        </w:rPr>
        <w:t xml:space="preserve"> belirtilmiştir. B</w:t>
      </w:r>
      <w:r w:rsidRPr="00E6666E">
        <w:rPr>
          <w:rStyle w:val="y2iqfc"/>
          <w:rFonts w:asciiTheme="minorHAnsi" w:hAnsiTheme="minorHAnsi" w:cstheme="minorHAnsi"/>
          <w:sz w:val="24"/>
          <w:szCs w:val="24"/>
        </w:rPr>
        <w:t>u kapsamda Avrupa Komisyonu tarafından</w:t>
      </w:r>
      <w:r w:rsidRPr="00E6666E">
        <w:rPr>
          <w:rFonts w:asciiTheme="minorHAnsi" w:hAnsiTheme="minorHAnsi" w:cstheme="minorHAnsi"/>
          <w:sz w:val="24"/>
          <w:szCs w:val="24"/>
        </w:rPr>
        <w:t xml:space="preserve"> daha önce temel prensipleri açıklanmış </w:t>
      </w:r>
      <w:r w:rsidRPr="00E6666E">
        <w:rPr>
          <w:rStyle w:val="y2iqfc"/>
          <w:rFonts w:asciiTheme="minorHAnsi" w:hAnsiTheme="minorHAnsi" w:cstheme="minorHAnsi"/>
          <w:b/>
          <w:sz w:val="24"/>
          <w:szCs w:val="24"/>
        </w:rPr>
        <w:t>“Kritik Hammadde Yasası”</w:t>
      </w:r>
      <w:r w:rsidRPr="00E6666E">
        <w:rPr>
          <w:rStyle w:val="y2iqfc"/>
          <w:rFonts w:asciiTheme="minorHAnsi" w:hAnsiTheme="minorHAnsi" w:cstheme="minorHAnsi"/>
          <w:sz w:val="24"/>
          <w:szCs w:val="24"/>
        </w:rPr>
        <w:t xml:space="preserve"> teklif edilerek yüksek çevre standartlarının temini</w:t>
      </w:r>
      <w:r w:rsidR="00A4470F">
        <w:rPr>
          <w:rStyle w:val="y2iqfc"/>
          <w:rFonts w:asciiTheme="minorHAnsi" w:hAnsiTheme="minorHAnsi" w:cstheme="minorHAnsi"/>
          <w:sz w:val="24"/>
          <w:szCs w:val="24"/>
        </w:rPr>
        <w:t>nin</w:t>
      </w:r>
      <w:r w:rsidRPr="00E6666E">
        <w:rPr>
          <w:rStyle w:val="y2iqfc"/>
          <w:rFonts w:asciiTheme="minorHAnsi" w:hAnsiTheme="minorHAnsi" w:cstheme="minorHAnsi"/>
          <w:sz w:val="24"/>
          <w:szCs w:val="24"/>
        </w:rPr>
        <w:t xml:space="preserve"> ve </w:t>
      </w:r>
      <w:r w:rsidR="00A4470F" w:rsidRPr="00E6666E">
        <w:rPr>
          <w:rStyle w:val="y2iqfc"/>
          <w:rFonts w:asciiTheme="minorHAnsi" w:hAnsiTheme="minorHAnsi" w:cstheme="minorHAnsi"/>
          <w:sz w:val="24"/>
          <w:szCs w:val="24"/>
        </w:rPr>
        <w:t>kritik hammaddelere ilişkin arz güvenliğinin</w:t>
      </w:r>
      <w:r w:rsidR="00A4470F">
        <w:rPr>
          <w:rStyle w:val="y2iqfc"/>
          <w:rFonts w:asciiTheme="minorHAnsi" w:hAnsiTheme="minorHAnsi" w:cstheme="minorHAnsi"/>
          <w:sz w:val="24"/>
          <w:szCs w:val="24"/>
        </w:rPr>
        <w:t>;</w:t>
      </w:r>
      <w:r w:rsidR="00A4470F" w:rsidRPr="00E6666E">
        <w:rPr>
          <w:rStyle w:val="y2iqfc"/>
          <w:rFonts w:asciiTheme="minorHAnsi" w:hAnsiTheme="minorHAnsi" w:cstheme="minorHAnsi"/>
          <w:sz w:val="24"/>
          <w:szCs w:val="24"/>
        </w:rPr>
        <w:t xml:space="preserve"> </w:t>
      </w:r>
      <w:r w:rsidRPr="00E6666E">
        <w:rPr>
          <w:rStyle w:val="y2iqfc"/>
          <w:rFonts w:asciiTheme="minorHAnsi" w:hAnsiTheme="minorHAnsi" w:cstheme="minorHAnsi"/>
          <w:sz w:val="24"/>
          <w:szCs w:val="24"/>
        </w:rPr>
        <w:t>sürekli olarak araştırma ve yenilik sağlan</w:t>
      </w:r>
      <w:r w:rsidR="00A4470F">
        <w:rPr>
          <w:rStyle w:val="y2iqfc"/>
          <w:rFonts w:asciiTheme="minorHAnsi" w:hAnsiTheme="minorHAnsi" w:cstheme="minorHAnsi"/>
          <w:sz w:val="24"/>
          <w:szCs w:val="24"/>
        </w:rPr>
        <w:t>arak</w:t>
      </w:r>
      <w:r w:rsidRPr="00E6666E">
        <w:rPr>
          <w:rStyle w:val="y2iqfc"/>
          <w:rFonts w:asciiTheme="minorHAnsi" w:hAnsiTheme="minorHAnsi" w:cstheme="minorHAnsi"/>
          <w:sz w:val="24"/>
          <w:szCs w:val="24"/>
        </w:rPr>
        <w:t>, uluslararası katılım güçlendir</w:t>
      </w:r>
      <w:r w:rsidR="00A4470F">
        <w:rPr>
          <w:rStyle w:val="y2iqfc"/>
          <w:rFonts w:asciiTheme="minorHAnsi" w:hAnsiTheme="minorHAnsi" w:cstheme="minorHAnsi"/>
          <w:sz w:val="24"/>
          <w:szCs w:val="24"/>
        </w:rPr>
        <w:t>ilere</w:t>
      </w:r>
      <w:r w:rsidRPr="00E6666E">
        <w:rPr>
          <w:rStyle w:val="y2iqfc"/>
          <w:rFonts w:asciiTheme="minorHAnsi" w:hAnsiTheme="minorHAnsi" w:cstheme="minorHAnsi"/>
          <w:sz w:val="24"/>
          <w:szCs w:val="24"/>
        </w:rPr>
        <w:t xml:space="preserve">k; </w:t>
      </w:r>
      <w:r w:rsidR="00A4470F">
        <w:rPr>
          <w:rStyle w:val="y2iqfc"/>
          <w:rFonts w:asciiTheme="minorHAnsi" w:hAnsiTheme="minorHAnsi" w:cstheme="minorHAnsi"/>
          <w:sz w:val="24"/>
          <w:szCs w:val="24"/>
        </w:rPr>
        <w:t xml:space="preserve">kritik </w:t>
      </w:r>
      <w:r w:rsidRPr="00E6666E">
        <w:rPr>
          <w:rStyle w:val="y2iqfc"/>
          <w:rFonts w:asciiTheme="minorHAnsi" w:hAnsiTheme="minorHAnsi" w:cstheme="minorHAnsi"/>
          <w:sz w:val="24"/>
          <w:szCs w:val="24"/>
        </w:rPr>
        <w:t>hammaddenin çıkarma, işleme ve geri dönüşümünü kolaylaştır</w:t>
      </w:r>
      <w:r w:rsidR="00A4470F">
        <w:rPr>
          <w:rStyle w:val="y2iqfc"/>
          <w:rFonts w:asciiTheme="minorHAnsi" w:hAnsiTheme="minorHAnsi" w:cstheme="minorHAnsi"/>
          <w:sz w:val="24"/>
          <w:szCs w:val="24"/>
        </w:rPr>
        <w:t>ıl</w:t>
      </w:r>
      <w:r w:rsidRPr="00E6666E">
        <w:rPr>
          <w:rStyle w:val="y2iqfc"/>
          <w:rFonts w:asciiTheme="minorHAnsi" w:hAnsiTheme="minorHAnsi" w:cstheme="minorHAnsi"/>
          <w:sz w:val="24"/>
          <w:szCs w:val="24"/>
        </w:rPr>
        <w:t xml:space="preserve">arak sağlanması amaçlanmaktadır. </w:t>
      </w:r>
    </w:p>
    <w:p w14:paraId="44CC7AE9" w14:textId="77777777" w:rsidR="00467961" w:rsidRPr="00E6666E" w:rsidRDefault="00467961" w:rsidP="00467961">
      <w:pPr>
        <w:pStyle w:val="HTMLncedenBiimlendirilmi"/>
        <w:numPr>
          <w:ilvl w:val="0"/>
          <w:numId w:val="1"/>
        </w:numPr>
        <w:spacing w:after="120"/>
        <w:ind w:left="714" w:hanging="357"/>
        <w:jc w:val="both"/>
        <w:rPr>
          <w:rStyle w:val="y2iqfc"/>
          <w:rFonts w:asciiTheme="minorHAnsi" w:hAnsiTheme="minorHAnsi" w:cstheme="minorHAnsi"/>
          <w:sz w:val="24"/>
          <w:szCs w:val="24"/>
        </w:rPr>
      </w:pPr>
      <w:proofErr w:type="gramStart"/>
      <w:r w:rsidRPr="00E6666E">
        <w:rPr>
          <w:rStyle w:val="y2iqfc"/>
          <w:rFonts w:asciiTheme="minorHAnsi" w:hAnsiTheme="minorHAnsi" w:cstheme="minorHAnsi"/>
          <w:sz w:val="24"/>
          <w:szCs w:val="24"/>
        </w:rPr>
        <w:t>2023 yılı Mart ayında Avrupa Komisyonu</w:t>
      </w:r>
      <w:r>
        <w:rPr>
          <w:rStyle w:val="y2iqfc"/>
          <w:rFonts w:asciiTheme="minorHAnsi" w:hAnsiTheme="minorHAnsi" w:cstheme="minorHAnsi"/>
          <w:sz w:val="24"/>
          <w:szCs w:val="24"/>
        </w:rPr>
        <w:t>’</w:t>
      </w:r>
      <w:r w:rsidRPr="00E6666E">
        <w:rPr>
          <w:rStyle w:val="y2iqfc"/>
          <w:rFonts w:asciiTheme="minorHAnsi" w:hAnsiTheme="minorHAnsi" w:cstheme="minorHAnsi"/>
          <w:sz w:val="24"/>
          <w:szCs w:val="24"/>
        </w:rPr>
        <w:t xml:space="preserve">nun, </w:t>
      </w:r>
      <w:r w:rsidRPr="00E6666E">
        <w:rPr>
          <w:rStyle w:val="y2iqfc"/>
          <w:rFonts w:asciiTheme="minorHAnsi" w:hAnsiTheme="minorHAnsi" w:cstheme="minorHAnsi"/>
          <w:b/>
          <w:sz w:val="24"/>
          <w:szCs w:val="24"/>
        </w:rPr>
        <w:t xml:space="preserve">Elektrik Piyasası Tasarımı Reform </w:t>
      </w:r>
      <w:r w:rsidRPr="00E6666E">
        <w:rPr>
          <w:rStyle w:val="y2iqfc"/>
          <w:rFonts w:asciiTheme="minorHAnsi" w:hAnsiTheme="minorHAnsi" w:cstheme="minorHAnsi"/>
          <w:bCs/>
          <w:sz w:val="24"/>
          <w:szCs w:val="24"/>
        </w:rPr>
        <w:t xml:space="preserve">önerisi ile uzun dönemli fiyat kontratları yapılarak, </w:t>
      </w:r>
      <w:r w:rsidRPr="00E6666E">
        <w:rPr>
          <w:rStyle w:val="y2iqfc"/>
          <w:rFonts w:asciiTheme="minorHAnsi" w:hAnsiTheme="minorHAnsi" w:cstheme="minorHAnsi"/>
          <w:sz w:val="24"/>
          <w:szCs w:val="24"/>
        </w:rPr>
        <w:t xml:space="preserve">enerji fiyatlarındaki istikrarsızlığı ele almak </w:t>
      </w:r>
      <w:r w:rsidRPr="00E6666E">
        <w:rPr>
          <w:rFonts w:asciiTheme="minorHAnsi" w:hAnsiTheme="minorHAnsi" w:cstheme="minorHAnsi"/>
          <w:sz w:val="24"/>
          <w:szCs w:val="24"/>
        </w:rPr>
        <w:t xml:space="preserve">ve tüketicilerin daha uygun maliyetli yenilenebilir enerji kaynaklarından yararlanmasını sağlanması, </w:t>
      </w:r>
      <w:r w:rsidRPr="00E6666E">
        <w:rPr>
          <w:rFonts w:asciiTheme="minorHAnsi" w:hAnsiTheme="minorHAnsi" w:cstheme="minorHAnsi"/>
          <w:b/>
          <w:sz w:val="24"/>
          <w:szCs w:val="24"/>
        </w:rPr>
        <w:t>yeni Batarya mevzuatı ve Sürdürülebilir Ürünler için Eko-Tasarım</w:t>
      </w:r>
      <w:r w:rsidRPr="00E6666E">
        <w:rPr>
          <w:rFonts w:asciiTheme="minorHAnsi" w:hAnsiTheme="minorHAnsi" w:cstheme="minorHAnsi"/>
          <w:sz w:val="24"/>
          <w:szCs w:val="24"/>
        </w:rPr>
        <w:t xml:space="preserve"> ile mevzuat taslaklarının net-sıfır teknolojilerine destek olunması hedeflenmektedir</w:t>
      </w:r>
      <w:r w:rsidRPr="00E6666E">
        <w:rPr>
          <w:rStyle w:val="y2iqfc"/>
          <w:rFonts w:asciiTheme="minorHAnsi" w:hAnsiTheme="minorHAnsi" w:cstheme="minorHAnsi"/>
          <w:sz w:val="24"/>
          <w:szCs w:val="24"/>
        </w:rPr>
        <w:t>.</w:t>
      </w:r>
      <w:proofErr w:type="gramEnd"/>
    </w:p>
    <w:p w14:paraId="73940552" w14:textId="77777777" w:rsidR="00467961" w:rsidRPr="00E6666E" w:rsidRDefault="00467961" w:rsidP="00467961">
      <w:pPr>
        <w:pStyle w:val="HTMLncedenBiimlendirilmi"/>
        <w:numPr>
          <w:ilvl w:val="0"/>
          <w:numId w:val="1"/>
        </w:numPr>
        <w:spacing w:after="120"/>
        <w:ind w:left="714" w:hanging="357"/>
        <w:jc w:val="both"/>
        <w:rPr>
          <w:rStyle w:val="y2iqfc"/>
          <w:rFonts w:asciiTheme="minorHAnsi" w:hAnsiTheme="minorHAnsi" w:cstheme="minorHAnsi"/>
          <w:sz w:val="24"/>
          <w:szCs w:val="24"/>
        </w:rPr>
      </w:pPr>
      <w:r w:rsidRPr="00E6666E">
        <w:rPr>
          <w:rFonts w:asciiTheme="minorHAnsi" w:hAnsiTheme="minorHAnsi" w:cstheme="minorHAnsi"/>
          <w:sz w:val="24"/>
          <w:szCs w:val="24"/>
        </w:rPr>
        <w:t>Ulaştırma için Trans- Avrupa Ağında (TEN-T) şarj ve yeniden dolum altyapısının geliştirilmesi, Avrupa hidrojen temelinin kurulması, Enerji için Trans-Avrupa Ağında (TEN-E) yüksek miktarda yenilenebilir enerji taşıyabilecek akıllı elektrik şebekelerinin güçlendirilmesi ve Alternatif Yakıt Altyapısı Tüzüğü’nün kabul edilmesi amaçlanmaktadır.</w:t>
      </w:r>
    </w:p>
    <w:p w14:paraId="109D2256" w14:textId="20171349" w:rsidR="00467961" w:rsidRDefault="00467961" w:rsidP="00467961">
      <w:pPr>
        <w:pStyle w:val="ListeParagraf"/>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contextualSpacing w:val="0"/>
        <w:jc w:val="both"/>
        <w:rPr>
          <w:rFonts w:eastAsia="Times New Roman" w:cstheme="minorHAnsi"/>
          <w:sz w:val="24"/>
          <w:szCs w:val="24"/>
          <w:lang w:eastAsia="tr-TR"/>
        </w:rPr>
      </w:pPr>
      <w:r w:rsidRPr="00E6666E">
        <w:rPr>
          <w:rFonts w:eastAsia="Times New Roman" w:cstheme="minorHAnsi"/>
          <w:sz w:val="24"/>
          <w:szCs w:val="24"/>
          <w:lang w:eastAsia="tr-TR"/>
        </w:rPr>
        <w:t xml:space="preserve">Ayrıca, kamu alımlarında uyumlaştırılmış sürdürülebilirlik ve </w:t>
      </w:r>
      <w:proofErr w:type="spellStart"/>
      <w:r w:rsidRPr="00E6666E">
        <w:rPr>
          <w:rFonts w:eastAsia="Times New Roman" w:cstheme="minorHAnsi"/>
          <w:sz w:val="24"/>
          <w:szCs w:val="24"/>
          <w:lang w:eastAsia="tr-TR"/>
        </w:rPr>
        <w:t>döngüsellik</w:t>
      </w:r>
      <w:proofErr w:type="spellEnd"/>
      <w:r w:rsidRPr="00E6666E">
        <w:rPr>
          <w:rFonts w:eastAsia="Times New Roman" w:cstheme="minorHAnsi"/>
          <w:sz w:val="24"/>
          <w:szCs w:val="24"/>
          <w:lang w:eastAsia="tr-TR"/>
        </w:rPr>
        <w:t xml:space="preserve"> gerekliliklerinin kullanılması</w:t>
      </w:r>
      <w:r>
        <w:rPr>
          <w:rFonts w:eastAsia="Times New Roman" w:cstheme="minorHAnsi"/>
          <w:sz w:val="24"/>
          <w:szCs w:val="24"/>
          <w:lang w:eastAsia="tr-TR"/>
        </w:rPr>
        <w:t>nın</w:t>
      </w:r>
      <w:r w:rsidRPr="00E6666E">
        <w:rPr>
          <w:rFonts w:eastAsia="Times New Roman" w:cstheme="minorHAnsi"/>
          <w:sz w:val="24"/>
          <w:szCs w:val="24"/>
          <w:lang w:eastAsia="tr-TR"/>
        </w:rPr>
        <w:t>, net sıfır ürün ve çözümler için daha öngörülebilir bir talep yaratılmasına yardımcı olabileceği ve Komisyon’un mevcut ve gelecekteki eko tasarım çalışma planları kapsamında net sıfır teknolojiler üzerinde çalışmaya yüksek öncelik vereceği vurgulanmaktadır.</w:t>
      </w:r>
    </w:p>
    <w:p w14:paraId="5E6D9B4E" w14:textId="77777777" w:rsidR="00467961" w:rsidRPr="00E6666E" w:rsidRDefault="00467961" w:rsidP="00467961">
      <w:pPr>
        <w:pStyle w:val="HTMLncedenBiimlendirilmi"/>
        <w:spacing w:after="120"/>
        <w:rPr>
          <w:rFonts w:asciiTheme="minorHAnsi" w:hAnsiTheme="minorHAnsi" w:cstheme="minorHAnsi"/>
          <w:bCs/>
          <w:sz w:val="24"/>
          <w:szCs w:val="24"/>
        </w:rPr>
      </w:pPr>
      <w:r w:rsidRPr="00E6666E">
        <w:rPr>
          <w:rFonts w:asciiTheme="minorHAnsi" w:hAnsiTheme="minorHAnsi" w:cstheme="minorHAnsi"/>
          <w:b/>
          <w:sz w:val="24"/>
          <w:szCs w:val="24"/>
        </w:rPr>
        <w:t xml:space="preserve">Finansmana Erişimin Kolaylaştırılması </w:t>
      </w:r>
      <w:r w:rsidRPr="00E6666E">
        <w:rPr>
          <w:rFonts w:asciiTheme="minorHAnsi" w:hAnsiTheme="minorHAnsi" w:cstheme="minorHAnsi"/>
          <w:bCs/>
          <w:sz w:val="24"/>
          <w:szCs w:val="24"/>
        </w:rPr>
        <w:t>başlığında,</w:t>
      </w:r>
    </w:p>
    <w:p w14:paraId="2DEBED68" w14:textId="5C564269" w:rsidR="00467961" w:rsidRPr="00E6666E" w:rsidRDefault="00467961" w:rsidP="00467961">
      <w:pPr>
        <w:pStyle w:val="HTMLncedenBiimlendirilmi"/>
        <w:numPr>
          <w:ilvl w:val="0"/>
          <w:numId w:val="1"/>
        </w:numPr>
        <w:spacing w:after="120"/>
        <w:jc w:val="both"/>
        <w:rPr>
          <w:rFonts w:asciiTheme="minorHAnsi" w:hAnsiTheme="minorHAnsi" w:cstheme="minorHAnsi"/>
          <w:bCs/>
          <w:sz w:val="24"/>
          <w:szCs w:val="24"/>
        </w:rPr>
      </w:pPr>
      <w:r w:rsidRPr="00E6666E">
        <w:rPr>
          <w:rFonts w:asciiTheme="minorHAnsi" w:hAnsiTheme="minorHAnsi" w:cstheme="minorHAnsi"/>
          <w:sz w:val="24"/>
          <w:szCs w:val="24"/>
        </w:rPr>
        <w:t>Kamu finansmanının, Avrupa Sermaye Piyasaları Birliği'nde daha fazla ilerlemeyle bağlantılı olarak, yeşil geçiş için gerekli olan çok yüksek miktarlarda özel finansmanın kilidini açabilece</w:t>
      </w:r>
      <w:r>
        <w:rPr>
          <w:rFonts w:asciiTheme="minorHAnsi" w:hAnsiTheme="minorHAnsi" w:cstheme="minorHAnsi"/>
          <w:sz w:val="24"/>
          <w:szCs w:val="24"/>
        </w:rPr>
        <w:t>ktir. Bu çerçevede,</w:t>
      </w:r>
      <w:r w:rsidRPr="00E6666E">
        <w:rPr>
          <w:rFonts w:asciiTheme="minorHAnsi" w:hAnsiTheme="minorHAnsi" w:cstheme="minorHAnsi"/>
          <w:sz w:val="24"/>
          <w:szCs w:val="24"/>
        </w:rPr>
        <w:t xml:space="preserve"> </w:t>
      </w:r>
      <w:r w:rsidRPr="00E6666E">
        <w:rPr>
          <w:rFonts w:asciiTheme="minorHAnsi" w:eastAsiaTheme="minorHAnsi" w:hAnsiTheme="minorHAnsi" w:cstheme="minorHAnsi"/>
          <w:sz w:val="24"/>
          <w:szCs w:val="24"/>
          <w:lang w:eastAsia="en-US"/>
        </w:rPr>
        <w:t>Komisyon</w:t>
      </w:r>
      <w:r>
        <w:rPr>
          <w:rFonts w:asciiTheme="minorHAnsi" w:eastAsiaTheme="minorHAnsi" w:hAnsiTheme="minorHAnsi" w:cstheme="minorHAnsi"/>
          <w:sz w:val="24"/>
          <w:szCs w:val="24"/>
          <w:lang w:eastAsia="en-US"/>
        </w:rPr>
        <w:t xml:space="preserve"> tarafından</w:t>
      </w:r>
      <w:r w:rsidRPr="00E6666E">
        <w:rPr>
          <w:rFonts w:asciiTheme="minorHAnsi" w:eastAsiaTheme="minorHAnsi" w:hAnsiTheme="minorHAnsi" w:cstheme="minorHAnsi"/>
          <w:sz w:val="24"/>
          <w:szCs w:val="24"/>
          <w:lang w:eastAsia="en-US"/>
        </w:rPr>
        <w:t>, standart geri ödeme programları aracılığıyla enerji verimliliği ve yenilenebilir projelerin tasarımını ve geri ödemelerini hızlandırmak da dahil olmak üzere, Net-Sıfır Sanayi Planını desteklemek için “Uyum Yatırımlarının” hızla harekete geçirilmesi</w:t>
      </w:r>
      <w:r>
        <w:rPr>
          <w:rFonts w:asciiTheme="minorHAnsi" w:eastAsiaTheme="minorHAnsi" w:hAnsiTheme="minorHAnsi" w:cstheme="minorHAnsi"/>
          <w:sz w:val="24"/>
          <w:szCs w:val="24"/>
          <w:lang w:eastAsia="en-US"/>
        </w:rPr>
        <w:t xml:space="preserve"> </w:t>
      </w:r>
      <w:r w:rsidRPr="00E6666E">
        <w:rPr>
          <w:rFonts w:asciiTheme="minorHAnsi" w:eastAsiaTheme="minorHAnsi" w:hAnsiTheme="minorHAnsi" w:cstheme="minorHAnsi"/>
          <w:sz w:val="24"/>
          <w:szCs w:val="24"/>
          <w:lang w:eastAsia="en-US"/>
        </w:rPr>
        <w:t>amaçla</w:t>
      </w:r>
      <w:r>
        <w:rPr>
          <w:rFonts w:asciiTheme="minorHAnsi" w:eastAsiaTheme="minorHAnsi" w:hAnsiTheme="minorHAnsi" w:cstheme="minorHAnsi"/>
          <w:sz w:val="24"/>
          <w:szCs w:val="24"/>
          <w:lang w:eastAsia="en-US"/>
        </w:rPr>
        <w:t>n</w:t>
      </w:r>
      <w:r w:rsidRPr="00E6666E">
        <w:rPr>
          <w:rFonts w:asciiTheme="minorHAnsi" w:eastAsiaTheme="minorHAnsi" w:hAnsiTheme="minorHAnsi" w:cstheme="minorHAnsi"/>
          <w:sz w:val="24"/>
          <w:szCs w:val="24"/>
          <w:lang w:eastAsia="en-US"/>
        </w:rPr>
        <w:t>maktadır.</w:t>
      </w:r>
    </w:p>
    <w:p w14:paraId="594F2769" w14:textId="77777777" w:rsidR="00D3338D" w:rsidRDefault="00467961" w:rsidP="00467961">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cstheme="minorHAnsi"/>
          <w:sz w:val="24"/>
          <w:szCs w:val="24"/>
        </w:rPr>
        <w:sectPr w:rsidR="00D3338D">
          <w:footerReference w:type="default" r:id="rId8"/>
          <w:pgSz w:w="11906" w:h="16838"/>
          <w:pgMar w:top="1417" w:right="1417" w:bottom="1417" w:left="1417" w:header="708" w:footer="708" w:gutter="0"/>
          <w:cols w:space="708"/>
          <w:docGrid w:linePitch="360"/>
        </w:sectPr>
      </w:pPr>
      <w:r w:rsidRPr="00E6666E">
        <w:rPr>
          <w:rFonts w:eastAsia="Times New Roman" w:cstheme="minorHAnsi"/>
          <w:sz w:val="24"/>
          <w:szCs w:val="24"/>
        </w:rPr>
        <w:t xml:space="preserve">2022 yılında Komisyon tarafından </w:t>
      </w:r>
      <w:r w:rsidRPr="00E6666E">
        <w:rPr>
          <w:rFonts w:cstheme="minorHAnsi"/>
          <w:sz w:val="24"/>
          <w:szCs w:val="24"/>
        </w:rPr>
        <w:t xml:space="preserve">yenilenebilir enerji ve sanayinin </w:t>
      </w:r>
      <w:proofErr w:type="spellStart"/>
      <w:r w:rsidRPr="00E6666E">
        <w:rPr>
          <w:rFonts w:cstheme="minorHAnsi"/>
          <w:sz w:val="24"/>
          <w:szCs w:val="24"/>
        </w:rPr>
        <w:t>karbonsuzlaştırılması</w:t>
      </w:r>
      <w:proofErr w:type="spellEnd"/>
      <w:r w:rsidRPr="00E6666E">
        <w:rPr>
          <w:rFonts w:cstheme="minorHAnsi"/>
          <w:sz w:val="24"/>
          <w:szCs w:val="24"/>
        </w:rPr>
        <w:t xml:space="preserve"> projelerine yönelik olarak 51 Milyar Euro tutarında devlet yardımının onaylandığı belirtilerek, </w:t>
      </w:r>
      <w:r w:rsidRPr="00E6666E">
        <w:rPr>
          <w:rFonts w:eastAsia="Times New Roman" w:cstheme="minorHAnsi"/>
          <w:sz w:val="24"/>
          <w:szCs w:val="24"/>
        </w:rPr>
        <w:t xml:space="preserve">“Rekabet Stratejisinin” bir parçası olarak, </w:t>
      </w:r>
      <w:r w:rsidRPr="00E6666E">
        <w:rPr>
          <w:rFonts w:cstheme="minorHAnsi"/>
          <w:b/>
          <w:sz w:val="24"/>
          <w:szCs w:val="24"/>
        </w:rPr>
        <w:t>2025 yılı sonuna kadar üye ülkeler tarafından verilecek devlet yardımları prosedürlerinin kolaylaştırılması</w:t>
      </w:r>
      <w:r w:rsidRPr="00E6666E">
        <w:rPr>
          <w:rFonts w:eastAsia="Times New Roman" w:cstheme="minorHAnsi"/>
          <w:sz w:val="24"/>
          <w:szCs w:val="24"/>
        </w:rPr>
        <w:t xml:space="preserve"> </w:t>
      </w:r>
      <w:r w:rsidRPr="00E6666E">
        <w:rPr>
          <w:rFonts w:cstheme="minorHAnsi"/>
          <w:sz w:val="24"/>
          <w:szCs w:val="24"/>
        </w:rPr>
        <w:t>ve esnekliklerin genişletilmesi ile bu tutarın artırılması</w:t>
      </w:r>
      <w:r>
        <w:rPr>
          <w:rFonts w:cstheme="minorHAnsi"/>
          <w:sz w:val="24"/>
          <w:szCs w:val="24"/>
        </w:rPr>
        <w:t xml:space="preserve"> amaçlanmaktadır.</w:t>
      </w:r>
      <w:r w:rsidRPr="00E6666E">
        <w:rPr>
          <w:rFonts w:cstheme="minorHAnsi"/>
          <w:sz w:val="24"/>
          <w:szCs w:val="24"/>
        </w:rPr>
        <w:t xml:space="preserve"> </w:t>
      </w:r>
      <w:r>
        <w:rPr>
          <w:rFonts w:cstheme="minorHAnsi"/>
          <w:sz w:val="24"/>
          <w:szCs w:val="24"/>
        </w:rPr>
        <w:t>B</w:t>
      </w:r>
      <w:r w:rsidRPr="00E6666E">
        <w:rPr>
          <w:rFonts w:cstheme="minorHAnsi"/>
          <w:sz w:val="24"/>
          <w:szCs w:val="24"/>
        </w:rPr>
        <w:t>u kapsamda</w:t>
      </w:r>
      <w:r>
        <w:rPr>
          <w:rFonts w:cstheme="minorHAnsi"/>
          <w:sz w:val="24"/>
          <w:szCs w:val="24"/>
        </w:rPr>
        <w:t xml:space="preserve"> </w:t>
      </w:r>
      <w:r w:rsidRPr="00E6666E">
        <w:rPr>
          <w:rFonts w:cstheme="minorHAnsi"/>
          <w:sz w:val="24"/>
          <w:szCs w:val="24"/>
        </w:rPr>
        <w:t xml:space="preserve">AB’nin </w:t>
      </w:r>
      <w:r>
        <w:rPr>
          <w:rFonts w:cstheme="minorHAnsi"/>
          <w:sz w:val="24"/>
          <w:szCs w:val="24"/>
        </w:rPr>
        <w:t xml:space="preserve">devlet yardımları alanında </w:t>
      </w:r>
      <w:r w:rsidRPr="00E6666E">
        <w:rPr>
          <w:rFonts w:cstheme="minorHAnsi"/>
          <w:sz w:val="24"/>
          <w:szCs w:val="24"/>
        </w:rPr>
        <w:t xml:space="preserve">diğer ülkelere ve </w:t>
      </w:r>
    </w:p>
    <w:p w14:paraId="4EFF821A" w14:textId="6A9E632A" w:rsidR="00467961" w:rsidRPr="00402C2D" w:rsidRDefault="00467961" w:rsidP="00467961">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eastAsia="Times New Roman" w:cstheme="minorHAnsi"/>
          <w:sz w:val="24"/>
          <w:szCs w:val="24"/>
        </w:rPr>
      </w:pPr>
      <w:proofErr w:type="gramStart"/>
      <w:r w:rsidRPr="00E6666E">
        <w:rPr>
          <w:rFonts w:cstheme="minorHAnsi"/>
          <w:sz w:val="24"/>
          <w:szCs w:val="24"/>
        </w:rPr>
        <w:lastRenderedPageBreak/>
        <w:t>küresel</w:t>
      </w:r>
      <w:proofErr w:type="gramEnd"/>
      <w:r w:rsidRPr="00E6666E">
        <w:rPr>
          <w:rFonts w:cstheme="minorHAnsi"/>
          <w:sz w:val="24"/>
          <w:szCs w:val="24"/>
        </w:rPr>
        <w:t xml:space="preserve"> finansman kapasitelerine göre eksikliklerinin giderilmesine yönelik politika belirlenmesi </w:t>
      </w:r>
      <w:r>
        <w:rPr>
          <w:rFonts w:cstheme="minorHAnsi"/>
          <w:sz w:val="24"/>
          <w:szCs w:val="24"/>
        </w:rPr>
        <w:t>ve</w:t>
      </w:r>
      <w:r w:rsidRPr="00E6666E">
        <w:rPr>
          <w:rFonts w:cstheme="minorHAnsi"/>
          <w:sz w:val="24"/>
          <w:szCs w:val="24"/>
        </w:rPr>
        <w:t xml:space="preserve"> Tek</w:t>
      </w:r>
      <w:r w:rsidRPr="00E6666E">
        <w:rPr>
          <w:rFonts w:eastAsia="Times New Roman" w:cstheme="minorHAnsi"/>
          <w:sz w:val="24"/>
          <w:szCs w:val="24"/>
        </w:rPr>
        <w:t xml:space="preserve"> Pazar içinde eşit şartlar</w:t>
      </w:r>
      <w:r>
        <w:rPr>
          <w:rFonts w:eastAsia="Times New Roman" w:cstheme="minorHAnsi"/>
          <w:sz w:val="24"/>
          <w:szCs w:val="24"/>
        </w:rPr>
        <w:t>ın tesis edilmesi</w:t>
      </w:r>
      <w:r w:rsidRPr="00E6666E">
        <w:rPr>
          <w:rFonts w:eastAsia="Times New Roman" w:cstheme="minorHAnsi"/>
          <w:sz w:val="24"/>
          <w:szCs w:val="24"/>
        </w:rPr>
        <w:t xml:space="preserve"> amaçlanmaktadır.</w:t>
      </w:r>
    </w:p>
    <w:p w14:paraId="3B2EF8AF" w14:textId="469F55C7" w:rsidR="00467961" w:rsidRPr="00467961" w:rsidRDefault="00467961" w:rsidP="00467961">
      <w:pPr>
        <w:pStyle w:val="ListeParagraf"/>
        <w:numPr>
          <w:ilvl w:val="0"/>
          <w:numId w:val="1"/>
        </w:numPr>
        <w:autoSpaceDE w:val="0"/>
        <w:autoSpaceDN w:val="0"/>
        <w:adjustRightInd w:val="0"/>
        <w:spacing w:after="120" w:line="240" w:lineRule="auto"/>
        <w:contextualSpacing w:val="0"/>
        <w:jc w:val="both"/>
        <w:rPr>
          <w:rFonts w:cstheme="minorHAnsi"/>
          <w:color w:val="FF0000"/>
          <w:sz w:val="24"/>
          <w:szCs w:val="24"/>
        </w:rPr>
      </w:pPr>
      <w:r w:rsidRPr="00E6666E">
        <w:rPr>
          <w:rFonts w:eastAsia="Times New Roman" w:cstheme="minorHAnsi"/>
          <w:sz w:val="24"/>
          <w:szCs w:val="24"/>
        </w:rPr>
        <w:t>Buna göre Komisyon</w:t>
      </w:r>
      <w:r>
        <w:rPr>
          <w:rFonts w:eastAsia="Times New Roman" w:cstheme="minorHAnsi"/>
          <w:sz w:val="24"/>
          <w:szCs w:val="24"/>
        </w:rPr>
        <w:t>’</w:t>
      </w:r>
      <w:r w:rsidRPr="00E6666E">
        <w:rPr>
          <w:rFonts w:eastAsia="Times New Roman" w:cstheme="minorHAnsi"/>
          <w:sz w:val="24"/>
          <w:szCs w:val="24"/>
        </w:rPr>
        <w:t>un, Üye Devletleri güncellenmiş bir</w:t>
      </w:r>
      <w:r w:rsidRPr="00E6666E">
        <w:rPr>
          <w:rFonts w:eastAsia="Times New Roman" w:cstheme="minorHAnsi"/>
          <w:b/>
          <w:sz w:val="24"/>
          <w:szCs w:val="24"/>
        </w:rPr>
        <w:t xml:space="preserve"> “Geçici Devlet Yardımı Krizi ve Geçiş Çerçevesi”</w:t>
      </w:r>
      <w:r w:rsidRPr="00E6666E">
        <w:rPr>
          <w:rFonts w:eastAsia="Times New Roman" w:cstheme="minorHAnsi"/>
          <w:sz w:val="24"/>
          <w:szCs w:val="24"/>
        </w:rPr>
        <w:t xml:space="preserve"> konusunda dahil edeceği ve </w:t>
      </w:r>
      <w:r w:rsidRPr="00E6666E">
        <w:rPr>
          <w:rFonts w:eastAsia="Times New Roman" w:cstheme="minorHAnsi"/>
          <w:b/>
          <w:bCs/>
          <w:sz w:val="24"/>
          <w:szCs w:val="24"/>
        </w:rPr>
        <w:t>Yeşil Mutabakat Genel Blok Muafiyet Kuralları</w:t>
      </w:r>
      <w:r w:rsidRPr="00E6666E">
        <w:rPr>
          <w:rFonts w:eastAsia="Times New Roman" w:cstheme="minorHAnsi"/>
          <w:sz w:val="24"/>
          <w:szCs w:val="24"/>
        </w:rPr>
        <w:t xml:space="preserve"> güncelleyerek yeşil yatırımlara yönelik yardım için bildirim düzeylerini yükselteceği, </w:t>
      </w:r>
      <w:r w:rsidRPr="00E6666E">
        <w:rPr>
          <w:rFonts w:cstheme="minorHAnsi"/>
          <w:sz w:val="24"/>
          <w:szCs w:val="24"/>
        </w:rPr>
        <w:t>Ortak Avrupa Çıkarı için Önemli Projeler (IPCEI) projelerine esneklik sağlanması</w:t>
      </w:r>
      <w:r w:rsidR="003C2132">
        <w:rPr>
          <w:rFonts w:cstheme="minorHAnsi"/>
          <w:sz w:val="24"/>
          <w:szCs w:val="24"/>
        </w:rPr>
        <w:t>nın</w:t>
      </w:r>
      <w:r w:rsidRPr="00E6666E">
        <w:rPr>
          <w:rFonts w:cstheme="minorHAnsi"/>
          <w:sz w:val="24"/>
          <w:szCs w:val="24"/>
        </w:rPr>
        <w:t xml:space="preserve"> amaçlan</w:t>
      </w:r>
      <w:r w:rsidR="003C2132">
        <w:rPr>
          <w:rFonts w:cstheme="minorHAnsi"/>
          <w:sz w:val="24"/>
          <w:szCs w:val="24"/>
        </w:rPr>
        <w:t>dığı belirtilmiştir.</w:t>
      </w:r>
      <w:r w:rsidRPr="00E6666E">
        <w:rPr>
          <w:rFonts w:cstheme="minorHAnsi"/>
          <w:sz w:val="24"/>
          <w:szCs w:val="24"/>
        </w:rPr>
        <w:t xml:space="preserve"> Avrupa Komisyonu tarafından 1 Şubat 2023 tarihinde açıklanan Geçici Kriz ve Geçiş Çerçevesi ile, Tek Pazar’ın bütünlüğü ve Tek Pazar içerisinde eşit rekabet koşulları korunurken, yenilenebilir enerji yatırımlarının artırılması, endüstrinin karbondan arındırılması ve net sıfır emisyona geçiş için gerekli ekipmanların üretiminin desteklenmesinin amaçlanmaktadır.</w:t>
      </w:r>
      <w:r>
        <w:rPr>
          <w:rFonts w:cstheme="minorHAnsi"/>
          <w:sz w:val="24"/>
          <w:szCs w:val="24"/>
        </w:rPr>
        <w:t xml:space="preserve"> </w:t>
      </w:r>
    </w:p>
    <w:p w14:paraId="1407383B" w14:textId="77777777" w:rsidR="00467961" w:rsidRPr="00402C2D" w:rsidRDefault="00467961" w:rsidP="00467961">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eastAsia="Times New Roman" w:cstheme="minorHAnsi"/>
          <w:sz w:val="24"/>
          <w:szCs w:val="24"/>
        </w:rPr>
      </w:pPr>
      <w:r w:rsidRPr="00E6666E">
        <w:rPr>
          <w:rFonts w:eastAsia="Times New Roman" w:cstheme="minorHAnsi"/>
          <w:sz w:val="24"/>
          <w:szCs w:val="24"/>
        </w:rPr>
        <w:t>Komisyonun ayrıca temiz teknolojinin geliştirilmesini, üretimini ve kullanımını finanse etmek için halihazırda mevcut olan AB fonlarının kullanılmasını kolaylaştıracağı; yatırım ihtiyaçların</w:t>
      </w:r>
      <w:r>
        <w:rPr>
          <w:rFonts w:eastAsia="Times New Roman" w:cstheme="minorHAnsi"/>
          <w:sz w:val="24"/>
          <w:szCs w:val="24"/>
        </w:rPr>
        <w:t>a göre</w:t>
      </w:r>
      <w:r w:rsidRPr="00E6666E">
        <w:rPr>
          <w:rFonts w:eastAsia="Times New Roman" w:cstheme="minorHAnsi"/>
          <w:sz w:val="24"/>
          <w:szCs w:val="24"/>
        </w:rPr>
        <w:t>, net sıfır teknoloji üretimine y</w:t>
      </w:r>
      <w:r>
        <w:rPr>
          <w:rFonts w:eastAsia="Times New Roman" w:cstheme="minorHAnsi"/>
          <w:sz w:val="24"/>
          <w:szCs w:val="24"/>
        </w:rPr>
        <w:t>önelik</w:t>
      </w:r>
      <w:r w:rsidRPr="00E6666E">
        <w:rPr>
          <w:rFonts w:eastAsia="Times New Roman" w:cstheme="minorHAnsi"/>
          <w:sz w:val="24"/>
          <w:szCs w:val="24"/>
        </w:rPr>
        <w:t xml:space="preserve"> yatırımları teşvik etmek için AB düzeyinde ortak finansmanı artırmanın </w:t>
      </w:r>
      <w:r>
        <w:rPr>
          <w:rFonts w:eastAsia="Times New Roman" w:cstheme="minorHAnsi"/>
          <w:sz w:val="24"/>
          <w:szCs w:val="24"/>
        </w:rPr>
        <w:t>amaçlandığı</w:t>
      </w:r>
      <w:r w:rsidRPr="00E6666E">
        <w:rPr>
          <w:rFonts w:eastAsia="Times New Roman" w:cstheme="minorHAnsi"/>
          <w:sz w:val="24"/>
          <w:szCs w:val="24"/>
        </w:rPr>
        <w:t xml:space="preserve"> ve kısa vadede </w:t>
      </w:r>
      <w:proofErr w:type="spellStart"/>
      <w:r w:rsidRPr="00E6666E">
        <w:rPr>
          <w:rFonts w:eastAsia="Times New Roman" w:cstheme="minorHAnsi"/>
          <w:sz w:val="24"/>
          <w:szCs w:val="24"/>
        </w:rPr>
        <w:t>REPowerEU</w:t>
      </w:r>
      <w:proofErr w:type="spellEnd"/>
      <w:r w:rsidRPr="00E6666E">
        <w:rPr>
          <w:rFonts w:eastAsia="Times New Roman" w:cstheme="minorHAnsi"/>
          <w:sz w:val="24"/>
          <w:szCs w:val="24"/>
        </w:rPr>
        <w:t xml:space="preserve">, </w:t>
      </w:r>
      <w:proofErr w:type="spellStart"/>
      <w:r w:rsidRPr="00E6666E">
        <w:rPr>
          <w:rFonts w:eastAsia="Times New Roman" w:cstheme="minorHAnsi"/>
          <w:sz w:val="24"/>
          <w:szCs w:val="24"/>
        </w:rPr>
        <w:t>InvestEU</w:t>
      </w:r>
      <w:proofErr w:type="spellEnd"/>
      <w:r w:rsidRPr="00E6666E">
        <w:rPr>
          <w:rFonts w:eastAsia="Times New Roman" w:cstheme="minorHAnsi"/>
          <w:sz w:val="24"/>
          <w:szCs w:val="24"/>
        </w:rPr>
        <w:t xml:space="preserve"> ve </w:t>
      </w:r>
      <w:proofErr w:type="spellStart"/>
      <w:r w:rsidRPr="00E6666E">
        <w:rPr>
          <w:rFonts w:eastAsia="Times New Roman" w:cstheme="minorHAnsi"/>
          <w:sz w:val="24"/>
          <w:szCs w:val="24"/>
        </w:rPr>
        <w:t>İnovasyon</w:t>
      </w:r>
      <w:proofErr w:type="spellEnd"/>
      <w:r w:rsidRPr="00E6666E">
        <w:rPr>
          <w:rFonts w:eastAsia="Times New Roman" w:cstheme="minorHAnsi"/>
          <w:sz w:val="24"/>
          <w:szCs w:val="24"/>
        </w:rPr>
        <w:t xml:space="preserve"> Fonu gibi fonlara odaklanarak hızlı ve odaklanmış destek sunmak için Üye Devletlerle çözüm üzerinde işbirliği </w:t>
      </w:r>
      <w:r>
        <w:rPr>
          <w:rFonts w:eastAsia="Times New Roman" w:cstheme="minorHAnsi"/>
          <w:sz w:val="24"/>
          <w:szCs w:val="24"/>
        </w:rPr>
        <w:t>yapacağı belirtilmektedir.</w:t>
      </w:r>
      <w:r w:rsidRPr="00E6666E">
        <w:rPr>
          <w:rFonts w:eastAsia="Times New Roman" w:cstheme="minorHAnsi"/>
          <w:sz w:val="24"/>
          <w:szCs w:val="24"/>
        </w:rPr>
        <w:t>.</w:t>
      </w:r>
    </w:p>
    <w:p w14:paraId="7404DD10" w14:textId="3F383D6E" w:rsidR="00467961" w:rsidRPr="00377A25" w:rsidRDefault="00467961" w:rsidP="00467961">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eastAsia="Times New Roman" w:cstheme="minorHAnsi"/>
          <w:sz w:val="24"/>
          <w:szCs w:val="24"/>
        </w:rPr>
      </w:pPr>
      <w:r w:rsidRPr="00E6666E">
        <w:rPr>
          <w:rFonts w:cstheme="minorHAnsi"/>
          <w:sz w:val="24"/>
          <w:szCs w:val="24"/>
        </w:rPr>
        <w:t xml:space="preserve">Şimdiye kadar yeşil dönüşüm projeleri için </w:t>
      </w:r>
      <w:proofErr w:type="spellStart"/>
      <w:r w:rsidRPr="00E6666E">
        <w:rPr>
          <w:rFonts w:cstheme="minorHAnsi"/>
          <w:sz w:val="24"/>
          <w:szCs w:val="24"/>
        </w:rPr>
        <w:t>NextGenerationEU</w:t>
      </w:r>
      <w:proofErr w:type="spellEnd"/>
      <w:r w:rsidRPr="00E6666E">
        <w:rPr>
          <w:rFonts w:cstheme="minorHAnsi"/>
          <w:sz w:val="24"/>
          <w:szCs w:val="24"/>
        </w:rPr>
        <w:t xml:space="preserve"> fonundan 250 Milyar Euro, </w:t>
      </w:r>
      <w:proofErr w:type="spellStart"/>
      <w:r w:rsidRPr="00E6666E">
        <w:rPr>
          <w:rFonts w:cstheme="minorHAnsi"/>
          <w:sz w:val="24"/>
          <w:szCs w:val="24"/>
        </w:rPr>
        <w:t>Horizon</w:t>
      </w:r>
      <w:proofErr w:type="spellEnd"/>
      <w:r w:rsidRPr="00E6666E">
        <w:rPr>
          <w:rFonts w:cstheme="minorHAnsi"/>
          <w:sz w:val="24"/>
          <w:szCs w:val="24"/>
        </w:rPr>
        <w:t xml:space="preserve"> Europe fonundan 40 Milyar Euro, Uyum Politikaları fonundan 100 Milyar Euro sağlandığı, projelerin finansman imkanının genişletilmesi amacıyla önümüzdeki dönemde </w:t>
      </w:r>
      <w:proofErr w:type="spellStart"/>
      <w:r w:rsidRPr="00E6666E">
        <w:rPr>
          <w:rFonts w:cstheme="minorHAnsi"/>
          <w:sz w:val="24"/>
          <w:szCs w:val="24"/>
        </w:rPr>
        <w:t>RePowerEU</w:t>
      </w:r>
      <w:proofErr w:type="spellEnd"/>
      <w:r w:rsidRPr="00E6666E">
        <w:rPr>
          <w:rFonts w:cstheme="minorHAnsi"/>
          <w:sz w:val="24"/>
          <w:szCs w:val="24"/>
        </w:rPr>
        <w:t xml:space="preserve"> inisiyatifi ile Toparlanma ve Güçlenme Fonundan (</w:t>
      </w:r>
      <w:proofErr w:type="spellStart"/>
      <w:r w:rsidRPr="00E6666E">
        <w:rPr>
          <w:rFonts w:cstheme="minorHAnsi"/>
          <w:i/>
          <w:sz w:val="24"/>
          <w:szCs w:val="24"/>
        </w:rPr>
        <w:t>Recovery</w:t>
      </w:r>
      <w:proofErr w:type="spellEnd"/>
      <w:r w:rsidRPr="00E6666E">
        <w:rPr>
          <w:rFonts w:cstheme="minorHAnsi"/>
          <w:i/>
          <w:sz w:val="24"/>
          <w:szCs w:val="24"/>
        </w:rPr>
        <w:t xml:space="preserve"> </w:t>
      </w:r>
      <w:proofErr w:type="spellStart"/>
      <w:r w:rsidRPr="00E6666E">
        <w:rPr>
          <w:rFonts w:cstheme="minorHAnsi"/>
          <w:i/>
          <w:sz w:val="24"/>
          <w:szCs w:val="24"/>
        </w:rPr>
        <w:t>and</w:t>
      </w:r>
      <w:proofErr w:type="spellEnd"/>
      <w:r w:rsidRPr="00E6666E">
        <w:rPr>
          <w:rFonts w:cstheme="minorHAnsi"/>
          <w:i/>
          <w:sz w:val="24"/>
          <w:szCs w:val="24"/>
        </w:rPr>
        <w:t xml:space="preserve"> </w:t>
      </w:r>
      <w:proofErr w:type="spellStart"/>
      <w:r w:rsidRPr="00E6666E">
        <w:rPr>
          <w:rFonts w:cstheme="minorHAnsi"/>
          <w:i/>
          <w:sz w:val="24"/>
          <w:szCs w:val="24"/>
        </w:rPr>
        <w:t>Resilience</w:t>
      </w:r>
      <w:proofErr w:type="spellEnd"/>
      <w:r w:rsidRPr="00E6666E">
        <w:rPr>
          <w:rFonts w:cstheme="minorHAnsi"/>
          <w:i/>
          <w:sz w:val="24"/>
          <w:szCs w:val="24"/>
        </w:rPr>
        <w:t xml:space="preserve"> </w:t>
      </w:r>
      <w:proofErr w:type="spellStart"/>
      <w:r w:rsidRPr="00E6666E">
        <w:rPr>
          <w:rFonts w:cstheme="minorHAnsi"/>
          <w:i/>
          <w:sz w:val="24"/>
          <w:szCs w:val="24"/>
        </w:rPr>
        <w:t>Fund</w:t>
      </w:r>
      <w:proofErr w:type="spellEnd"/>
      <w:r w:rsidRPr="00E6666E">
        <w:rPr>
          <w:rFonts w:cstheme="minorHAnsi"/>
          <w:sz w:val="24"/>
          <w:szCs w:val="24"/>
        </w:rPr>
        <w:t xml:space="preserve">- RRF) 20 milyar Euro hibe ile 225 Milyar Euro ön-finansman imkanı sağlanacağı, </w:t>
      </w:r>
      <w:proofErr w:type="spellStart"/>
      <w:r w:rsidRPr="00E6666E">
        <w:rPr>
          <w:rFonts w:cstheme="minorHAnsi"/>
          <w:sz w:val="24"/>
          <w:szCs w:val="24"/>
        </w:rPr>
        <w:t>Brexit</w:t>
      </w:r>
      <w:proofErr w:type="spellEnd"/>
      <w:r w:rsidRPr="00E6666E">
        <w:rPr>
          <w:rFonts w:cstheme="minorHAnsi"/>
          <w:sz w:val="24"/>
          <w:szCs w:val="24"/>
        </w:rPr>
        <w:t xml:space="preserve"> Uyum </w:t>
      </w:r>
      <w:proofErr w:type="spellStart"/>
      <w:r w:rsidRPr="00E6666E">
        <w:rPr>
          <w:rFonts w:cstheme="minorHAnsi"/>
          <w:sz w:val="24"/>
          <w:szCs w:val="24"/>
        </w:rPr>
        <w:t>Reservinde</w:t>
      </w:r>
      <w:proofErr w:type="spellEnd"/>
      <w:r w:rsidRPr="00E6666E">
        <w:rPr>
          <w:rFonts w:cstheme="minorHAnsi"/>
          <w:sz w:val="24"/>
          <w:szCs w:val="24"/>
        </w:rPr>
        <w:t xml:space="preserve"> bulunan 5,4 Milyar Euro’nun da kullanılabileceği, </w:t>
      </w:r>
      <w:proofErr w:type="spellStart"/>
      <w:r w:rsidRPr="00E6666E">
        <w:rPr>
          <w:rFonts w:cstheme="minorHAnsi"/>
          <w:sz w:val="24"/>
          <w:szCs w:val="24"/>
        </w:rPr>
        <w:t>InvestEU</w:t>
      </w:r>
      <w:proofErr w:type="spellEnd"/>
      <w:r w:rsidRPr="00E6666E">
        <w:rPr>
          <w:rFonts w:cstheme="minorHAnsi"/>
          <w:sz w:val="24"/>
          <w:szCs w:val="24"/>
        </w:rPr>
        <w:t xml:space="preserve"> tarafından sağlanan 372 Milyar </w:t>
      </w:r>
      <w:proofErr w:type="spellStart"/>
      <w:r w:rsidRPr="00E6666E">
        <w:rPr>
          <w:rFonts w:cstheme="minorHAnsi"/>
          <w:sz w:val="24"/>
          <w:szCs w:val="24"/>
        </w:rPr>
        <w:t>Euroluk</w:t>
      </w:r>
      <w:proofErr w:type="spellEnd"/>
      <w:r w:rsidRPr="00E6666E">
        <w:rPr>
          <w:rFonts w:cstheme="minorHAnsi"/>
          <w:sz w:val="24"/>
          <w:szCs w:val="24"/>
        </w:rPr>
        <w:t xml:space="preserve"> kaynak ile batarya teknolojileri, kritik hammaddelerin geri dönüşümü, elektrikli araç bataryaları, hidrojen sevki teknolojileri, </w:t>
      </w:r>
      <w:proofErr w:type="spellStart"/>
      <w:r w:rsidRPr="00E6666E">
        <w:rPr>
          <w:rFonts w:cstheme="minorHAnsi"/>
          <w:sz w:val="24"/>
          <w:szCs w:val="24"/>
        </w:rPr>
        <w:t>bio</w:t>
      </w:r>
      <w:proofErr w:type="spellEnd"/>
      <w:r w:rsidRPr="00E6666E">
        <w:rPr>
          <w:rFonts w:cstheme="minorHAnsi"/>
          <w:sz w:val="24"/>
          <w:szCs w:val="24"/>
        </w:rPr>
        <w:t xml:space="preserve"> yakıt ve çelik üretimine ilişkin ileri üretim teknolojilerinin </w:t>
      </w:r>
      <w:r w:rsidRPr="00467961">
        <w:rPr>
          <w:rFonts w:cstheme="minorHAnsi"/>
          <w:sz w:val="24"/>
          <w:szCs w:val="24"/>
        </w:rPr>
        <w:t xml:space="preserve">destekleneceği, </w:t>
      </w:r>
      <w:proofErr w:type="spellStart"/>
      <w:r w:rsidRPr="00467961">
        <w:rPr>
          <w:rFonts w:cstheme="minorHAnsi"/>
          <w:sz w:val="24"/>
          <w:szCs w:val="24"/>
        </w:rPr>
        <w:t>Inovasyon</w:t>
      </w:r>
      <w:proofErr w:type="spellEnd"/>
      <w:r w:rsidRPr="00467961">
        <w:rPr>
          <w:rFonts w:cstheme="minorHAnsi"/>
          <w:sz w:val="24"/>
          <w:szCs w:val="24"/>
        </w:rPr>
        <w:t xml:space="preserve"> Fonu’ndan ise 40 Milyar </w:t>
      </w:r>
      <w:proofErr w:type="spellStart"/>
      <w:r w:rsidRPr="00467961">
        <w:rPr>
          <w:rFonts w:cstheme="minorHAnsi"/>
          <w:sz w:val="24"/>
          <w:szCs w:val="24"/>
        </w:rPr>
        <w:t>Euroluk</w:t>
      </w:r>
      <w:proofErr w:type="spellEnd"/>
      <w:r w:rsidRPr="00467961">
        <w:rPr>
          <w:rFonts w:cstheme="minorHAnsi"/>
          <w:sz w:val="24"/>
          <w:szCs w:val="24"/>
        </w:rPr>
        <w:t xml:space="preserve"> kaynak sağlanacağı, ilk etapta 2023 yılının sonbahar aylarında 800 Milyon Euro </w:t>
      </w:r>
      <w:proofErr w:type="spellStart"/>
      <w:r w:rsidRPr="00467961">
        <w:rPr>
          <w:rFonts w:cstheme="minorHAnsi"/>
          <w:sz w:val="24"/>
          <w:szCs w:val="24"/>
        </w:rPr>
        <w:t>bütçelik</w:t>
      </w:r>
      <w:proofErr w:type="spellEnd"/>
      <w:r w:rsidRPr="00467961">
        <w:rPr>
          <w:rFonts w:cstheme="minorHAnsi"/>
          <w:sz w:val="24"/>
          <w:szCs w:val="24"/>
        </w:rPr>
        <w:t xml:space="preserve"> yenilenebilir hidrojen üretimine yönelik bir ihaleye çıkılması öngörülmektedir</w:t>
      </w:r>
      <w:r w:rsidRPr="00E6666E">
        <w:rPr>
          <w:rFonts w:cstheme="minorHAnsi"/>
          <w:sz w:val="24"/>
          <w:szCs w:val="24"/>
        </w:rPr>
        <w:t>.</w:t>
      </w:r>
    </w:p>
    <w:p w14:paraId="79A1A067" w14:textId="77777777" w:rsidR="00467961" w:rsidRPr="00402C2D" w:rsidRDefault="00467961" w:rsidP="00467961">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eastAsia="Times New Roman" w:cstheme="minorHAnsi"/>
          <w:sz w:val="24"/>
          <w:szCs w:val="24"/>
        </w:rPr>
      </w:pPr>
      <w:r w:rsidRPr="00467961">
        <w:rPr>
          <w:rFonts w:eastAsia="Times New Roman" w:cstheme="minorHAnsi"/>
          <w:sz w:val="24"/>
          <w:szCs w:val="24"/>
        </w:rPr>
        <w:t xml:space="preserve">2023 yazından önce Çok Yıllı Mali Çerçeve gözden geçirildiğinde, Avrupa Komisyonu orta vadeli yatırım taleplerine yapısal bir yanıt olarak bir </w:t>
      </w:r>
      <w:r w:rsidRPr="00467961">
        <w:rPr>
          <w:rFonts w:eastAsia="Times New Roman" w:cstheme="minorHAnsi"/>
          <w:b/>
          <w:sz w:val="24"/>
          <w:szCs w:val="24"/>
        </w:rPr>
        <w:t>“Avrupa Egemenlik Fonu”</w:t>
      </w:r>
      <w:r w:rsidRPr="00467961">
        <w:rPr>
          <w:rFonts w:eastAsia="Times New Roman" w:cstheme="minorHAnsi"/>
          <w:sz w:val="24"/>
          <w:szCs w:val="24"/>
        </w:rPr>
        <w:t xml:space="preserve"> önermeyi planladığı belirtilmektedir</w:t>
      </w:r>
      <w:r w:rsidRPr="00E6666E">
        <w:rPr>
          <w:rFonts w:eastAsia="Times New Roman" w:cstheme="minorHAnsi"/>
          <w:sz w:val="24"/>
          <w:szCs w:val="24"/>
        </w:rPr>
        <w:t>.</w:t>
      </w:r>
    </w:p>
    <w:p w14:paraId="7A3858CE" w14:textId="71F4A932" w:rsidR="00444420" w:rsidRPr="00D3338D" w:rsidRDefault="00467961" w:rsidP="00D3338D">
      <w:pPr>
        <w:pStyle w:val="ListeParagraf"/>
        <w:numPr>
          <w:ilvl w:val="0"/>
          <w:numId w:val="1"/>
        </w:numPr>
        <w:spacing w:after="120" w:line="240" w:lineRule="auto"/>
        <w:contextualSpacing w:val="0"/>
        <w:jc w:val="both"/>
        <w:rPr>
          <w:rFonts w:cstheme="minorHAnsi"/>
          <w:sz w:val="24"/>
          <w:szCs w:val="24"/>
        </w:rPr>
      </w:pPr>
      <w:r w:rsidRPr="00E6666E">
        <w:rPr>
          <w:rFonts w:cstheme="minorHAnsi"/>
          <w:sz w:val="24"/>
          <w:szCs w:val="24"/>
        </w:rPr>
        <w:t>Sermaye Piyasası Birliği kurularak AB’li şirketler için finansman ve yatırım fırsatlarının iyileştirilmesi amacıyla bireysel sermaye piyasalarının boyutunu ve bunların sınır ötesi entegrasyonunun arttırılması ve yatırım ihtiyaçlarının banka finansmanına ihtiyaç duymadan karşılanması hedeflenmektedir.</w:t>
      </w:r>
    </w:p>
    <w:p w14:paraId="61E41A94" w14:textId="77777777" w:rsidR="00467961" w:rsidRPr="00E6666E" w:rsidRDefault="00467961" w:rsidP="00467961">
      <w:pPr>
        <w:pStyle w:val="HTMLncedenBiimlendirilmi"/>
        <w:spacing w:after="120"/>
        <w:rPr>
          <w:rFonts w:asciiTheme="minorHAnsi" w:hAnsiTheme="minorHAnsi" w:cstheme="minorHAnsi"/>
          <w:bCs/>
          <w:sz w:val="24"/>
          <w:szCs w:val="24"/>
        </w:rPr>
      </w:pPr>
      <w:r w:rsidRPr="00E6666E">
        <w:rPr>
          <w:rFonts w:asciiTheme="minorHAnsi" w:hAnsiTheme="minorHAnsi" w:cstheme="minorHAnsi"/>
          <w:b/>
          <w:sz w:val="24"/>
          <w:szCs w:val="24"/>
        </w:rPr>
        <w:t xml:space="preserve">Becerilerin Geliştirmesi </w:t>
      </w:r>
      <w:r w:rsidRPr="00E6666E">
        <w:rPr>
          <w:rFonts w:asciiTheme="minorHAnsi" w:hAnsiTheme="minorHAnsi" w:cstheme="minorHAnsi"/>
          <w:bCs/>
          <w:sz w:val="24"/>
          <w:szCs w:val="24"/>
        </w:rPr>
        <w:t>başlığında,</w:t>
      </w:r>
    </w:p>
    <w:p w14:paraId="06DC7E7B" w14:textId="77777777" w:rsidR="00467961" w:rsidRPr="00E6666E" w:rsidRDefault="00467961" w:rsidP="00467961">
      <w:pPr>
        <w:pStyle w:val="ListeParagraf"/>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contextualSpacing w:val="0"/>
        <w:jc w:val="both"/>
        <w:rPr>
          <w:rFonts w:eastAsia="Times New Roman" w:cstheme="minorHAnsi"/>
          <w:sz w:val="24"/>
          <w:szCs w:val="24"/>
          <w:lang w:eastAsia="tr-TR"/>
        </w:rPr>
      </w:pPr>
      <w:r w:rsidRPr="00E6666E">
        <w:rPr>
          <w:rFonts w:eastAsia="Times New Roman" w:cstheme="minorHAnsi"/>
          <w:sz w:val="24"/>
          <w:szCs w:val="24"/>
          <w:lang w:eastAsia="tr-TR"/>
        </w:rPr>
        <w:t>Komisyon’un, yaş ve cinsiyet konularını dikkate alarak yeşil geçiş için çok önemli alanlarda iş ve becerilere yönelik arz ve talebi izlemek için hedefler ve göstergeler oluşturmak üzere Üye Devletler ile iş birliği yaptığı,</w:t>
      </w:r>
    </w:p>
    <w:p w14:paraId="2D99F969" w14:textId="190A6F96" w:rsidR="00D3338D" w:rsidRDefault="00467961" w:rsidP="00467961">
      <w:pPr>
        <w:pStyle w:val="ListeParagraf"/>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contextualSpacing w:val="0"/>
        <w:jc w:val="both"/>
        <w:rPr>
          <w:rFonts w:eastAsia="Times New Roman" w:cstheme="minorHAnsi"/>
          <w:sz w:val="24"/>
          <w:szCs w:val="24"/>
          <w:lang w:eastAsia="tr-TR"/>
        </w:rPr>
        <w:sectPr w:rsidR="00D3338D">
          <w:footerReference w:type="default" r:id="rId9"/>
          <w:pgSz w:w="11906" w:h="16838"/>
          <w:pgMar w:top="1417" w:right="1417" w:bottom="1417" w:left="1417" w:header="708" w:footer="708" w:gutter="0"/>
          <w:cols w:space="708"/>
          <w:docGrid w:linePitch="360"/>
        </w:sectPr>
      </w:pPr>
      <w:r w:rsidRPr="00E6666E">
        <w:rPr>
          <w:rFonts w:eastAsia="Times New Roman" w:cstheme="minorHAnsi"/>
          <w:sz w:val="24"/>
          <w:szCs w:val="24"/>
          <w:lang w:eastAsia="tr-TR"/>
        </w:rPr>
        <w:t xml:space="preserve">Geleceğe hazır becerileri sağlamak için gerekli olan üniversiteler için Avrupa stratejisini uygulamak amacıyla Komisyon’un, Üye Devletler ve yüksek öğretim sektörü ile iş birliği yapmakta </w:t>
      </w:r>
      <w:proofErr w:type="spellStart"/>
      <w:r w:rsidRPr="00E6666E">
        <w:rPr>
          <w:rFonts w:eastAsia="Times New Roman" w:cstheme="minorHAnsi"/>
          <w:sz w:val="24"/>
          <w:szCs w:val="24"/>
          <w:lang w:eastAsia="tr-TR"/>
        </w:rPr>
        <w:t>olduğ</w:t>
      </w:r>
      <w:proofErr w:type="spellEnd"/>
    </w:p>
    <w:p w14:paraId="53ECD893" w14:textId="520BE696" w:rsidR="00467961" w:rsidRPr="00D3338D" w:rsidRDefault="00467961" w:rsidP="00D333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heme="minorHAnsi"/>
          <w:sz w:val="24"/>
          <w:szCs w:val="24"/>
          <w:lang w:eastAsia="tr-TR"/>
        </w:rPr>
      </w:pPr>
    </w:p>
    <w:p w14:paraId="403D5977" w14:textId="77777777" w:rsidR="00467961" w:rsidRPr="00E6666E" w:rsidRDefault="00467961" w:rsidP="00467961">
      <w:pPr>
        <w:pStyle w:val="ListeParagraf"/>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contextualSpacing w:val="0"/>
        <w:jc w:val="both"/>
        <w:rPr>
          <w:rFonts w:eastAsia="Times New Roman" w:cstheme="minorHAnsi"/>
          <w:sz w:val="24"/>
          <w:szCs w:val="24"/>
          <w:lang w:eastAsia="tr-TR"/>
        </w:rPr>
      </w:pPr>
      <w:r w:rsidRPr="00E6666E">
        <w:rPr>
          <w:rFonts w:eastAsia="Times New Roman" w:cstheme="minorHAnsi"/>
          <w:sz w:val="24"/>
          <w:szCs w:val="24"/>
          <w:lang w:eastAsia="tr-TR"/>
        </w:rPr>
        <w:t>Özellikle bilim, teknoloji, mühendislik ve matematik alanlarında (STEM) uluslararası öğrencilerin ve araştırmacılarının Avrupa'ya gelmeleri için yeni yollar açılmaya çalışılacağı,</w:t>
      </w:r>
    </w:p>
    <w:p w14:paraId="0C9E10D0" w14:textId="272913E8" w:rsidR="00467961" w:rsidRPr="00E6666E" w:rsidRDefault="00467961" w:rsidP="00467961">
      <w:pPr>
        <w:pStyle w:val="ListeParagraf"/>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contextualSpacing w:val="0"/>
        <w:jc w:val="both"/>
        <w:rPr>
          <w:rFonts w:eastAsia="Times New Roman" w:cstheme="minorHAnsi"/>
          <w:sz w:val="24"/>
          <w:szCs w:val="24"/>
          <w:lang w:eastAsia="tr-TR"/>
        </w:rPr>
      </w:pPr>
      <w:r w:rsidRPr="00E6666E">
        <w:rPr>
          <w:rFonts w:cstheme="minorHAnsi"/>
          <w:sz w:val="24"/>
          <w:szCs w:val="24"/>
        </w:rPr>
        <w:t>İstihdamın %35 ila %40'ının yeşil dönüşüm sürecinden etkilenmesinin beklendiği dikkate alınarak, iyi ücretli ve kaliteli işler için gereken becerilerin geliştirilmesinin bir öncelik olması</w:t>
      </w:r>
      <w:r w:rsidRPr="00E6666E">
        <w:rPr>
          <w:rFonts w:eastAsia="Times New Roman" w:cstheme="minorHAnsi"/>
          <w:sz w:val="24"/>
          <w:szCs w:val="24"/>
          <w:lang w:eastAsia="tr-TR"/>
        </w:rPr>
        <w:t xml:space="preserve">, net-sıfır hedeflerine ulaşmak için stratejik endüstrilerde beceri kazandırma programları başlatmak için </w:t>
      </w:r>
      <w:r w:rsidRPr="00E6666E">
        <w:rPr>
          <w:rFonts w:eastAsia="Times New Roman" w:cstheme="minorHAnsi"/>
          <w:b/>
          <w:sz w:val="24"/>
          <w:szCs w:val="24"/>
          <w:lang w:eastAsia="tr-TR"/>
        </w:rPr>
        <w:t>“Net-Sıfır Endüstri Akademileri”</w:t>
      </w:r>
      <w:r w:rsidRPr="00E6666E">
        <w:rPr>
          <w:rFonts w:eastAsia="Times New Roman" w:cstheme="minorHAnsi"/>
          <w:sz w:val="24"/>
          <w:szCs w:val="24"/>
          <w:lang w:eastAsia="tr-TR"/>
        </w:rPr>
        <w:t xml:space="preserve"> ve sürdürülebilir inşaat için bir akademi kur</w:t>
      </w:r>
      <w:r>
        <w:rPr>
          <w:rFonts w:eastAsia="Times New Roman" w:cstheme="minorHAnsi"/>
          <w:sz w:val="24"/>
          <w:szCs w:val="24"/>
          <w:lang w:eastAsia="tr-TR"/>
        </w:rPr>
        <w:t>ulmasının önerildiği,</w:t>
      </w:r>
    </w:p>
    <w:p w14:paraId="26F7A23A" w14:textId="77777777" w:rsidR="00467961" w:rsidRPr="00E6666E" w:rsidRDefault="00467961" w:rsidP="00467961">
      <w:pPr>
        <w:pStyle w:val="ListeParagraf"/>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contextualSpacing w:val="0"/>
        <w:jc w:val="both"/>
        <w:rPr>
          <w:rFonts w:eastAsia="Times New Roman" w:cstheme="minorHAnsi"/>
          <w:sz w:val="24"/>
          <w:szCs w:val="24"/>
          <w:lang w:eastAsia="tr-TR"/>
        </w:rPr>
      </w:pPr>
      <w:r w:rsidRPr="00E6666E">
        <w:rPr>
          <w:rFonts w:eastAsia="Times New Roman" w:cstheme="minorHAnsi"/>
          <w:sz w:val="24"/>
          <w:szCs w:val="24"/>
          <w:lang w:eastAsia="tr-TR"/>
        </w:rPr>
        <w:t>Komisyonun, üçüncü ülke vatandaşlarının niteliklerinin tanınmasına ilişkin bir teklif sunacağı ve öncelikli sektörlerde AB işgücü piyasalarına erişimlerini kolaylaştırmak için bir AB Yetenek havuzunun oluşturulmasının incelendiği,</w:t>
      </w:r>
    </w:p>
    <w:p w14:paraId="05175A6C" w14:textId="77777777" w:rsidR="00467961" w:rsidRPr="00E6666E" w:rsidRDefault="00467961" w:rsidP="00467961">
      <w:pPr>
        <w:pStyle w:val="ListeParagraf"/>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contextualSpacing w:val="0"/>
        <w:jc w:val="both"/>
        <w:rPr>
          <w:rFonts w:eastAsia="Times New Roman" w:cstheme="minorHAnsi"/>
          <w:sz w:val="24"/>
          <w:szCs w:val="24"/>
          <w:lang w:eastAsia="tr-TR"/>
        </w:rPr>
      </w:pPr>
      <w:r w:rsidRPr="00E6666E">
        <w:rPr>
          <w:rFonts w:eastAsia="Times New Roman" w:cstheme="minorHAnsi"/>
          <w:sz w:val="24"/>
          <w:szCs w:val="24"/>
          <w:lang w:eastAsia="tr-TR"/>
        </w:rPr>
        <w:t>Ayrıca beceri geliştirme için kamu ve özel finansmanın uyumlu hale getirilmesinin desteklenerek; Genel Blok Muafiyet Yönetmeliği kapsamında KOBİ'lerin eğitimine yönelik devlet yardımı üst sınırının artırılması ve şirketlerin eğitim harcamalarının şirket hesaplarında bir maliyet yerine bir yatırım olarak ele alınması gibi eğitim ve araştırma önlemlerine daha fazla yatırım yapılmasını teşvik edileceği belirtilmiştir.</w:t>
      </w:r>
    </w:p>
    <w:p w14:paraId="6BF4A26B" w14:textId="4B493235" w:rsidR="00467961" w:rsidRPr="00E6666E" w:rsidRDefault="00467961" w:rsidP="00467961">
      <w:pPr>
        <w:pStyle w:val="ListeParagraf"/>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contextualSpacing w:val="0"/>
        <w:jc w:val="both"/>
        <w:rPr>
          <w:rFonts w:eastAsia="Times New Roman" w:cstheme="minorHAnsi"/>
          <w:sz w:val="24"/>
          <w:szCs w:val="24"/>
          <w:lang w:eastAsia="tr-TR"/>
        </w:rPr>
      </w:pPr>
      <w:r w:rsidRPr="00E6666E">
        <w:rPr>
          <w:rFonts w:cstheme="minorHAnsi"/>
          <w:sz w:val="24"/>
          <w:szCs w:val="24"/>
        </w:rPr>
        <w:t xml:space="preserve">Bu çerçevede gerçekleştirilecek projeler </w:t>
      </w:r>
      <w:r>
        <w:rPr>
          <w:rFonts w:cstheme="minorHAnsi"/>
          <w:sz w:val="24"/>
          <w:szCs w:val="24"/>
        </w:rPr>
        <w:t xml:space="preserve">için </w:t>
      </w:r>
      <w:r w:rsidRPr="00E6666E">
        <w:rPr>
          <w:rFonts w:cstheme="minorHAnsi"/>
          <w:sz w:val="24"/>
          <w:szCs w:val="24"/>
        </w:rPr>
        <w:t>çeşitli AB fonlarından 75,1 Milyar Euro bütçe ayrılması hedeflenmektedir</w:t>
      </w:r>
      <w:r w:rsidR="00823DCB">
        <w:rPr>
          <w:rFonts w:cstheme="minorHAnsi"/>
          <w:sz w:val="24"/>
          <w:szCs w:val="24"/>
        </w:rPr>
        <w:t>.</w:t>
      </w:r>
      <w:r>
        <w:rPr>
          <w:rFonts w:cstheme="minorHAnsi"/>
          <w:sz w:val="24"/>
          <w:szCs w:val="24"/>
        </w:rPr>
        <w:t xml:space="preserve"> </w:t>
      </w:r>
    </w:p>
    <w:p w14:paraId="2307E420" w14:textId="77777777" w:rsidR="00467961" w:rsidRPr="00E6666E" w:rsidRDefault="00467961" w:rsidP="00467961">
      <w:pPr>
        <w:rPr>
          <w:rFonts w:cstheme="minorHAnsi"/>
          <w:bCs/>
          <w:sz w:val="24"/>
          <w:szCs w:val="24"/>
        </w:rPr>
      </w:pPr>
      <w:r w:rsidRPr="00E6666E">
        <w:rPr>
          <w:rFonts w:cstheme="minorHAnsi"/>
          <w:b/>
          <w:sz w:val="24"/>
          <w:szCs w:val="24"/>
        </w:rPr>
        <w:t xml:space="preserve">Dayanıklı tedarik zincirleri için açık ticaret </w:t>
      </w:r>
      <w:r w:rsidRPr="00E6666E">
        <w:rPr>
          <w:rFonts w:cstheme="minorHAnsi"/>
          <w:bCs/>
          <w:sz w:val="24"/>
          <w:szCs w:val="24"/>
        </w:rPr>
        <w:t>başlığında,</w:t>
      </w:r>
    </w:p>
    <w:p w14:paraId="00C75FD8" w14:textId="77777777" w:rsidR="00467961" w:rsidRPr="00E6666E" w:rsidRDefault="00467961" w:rsidP="00467961">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contextualSpacing w:val="0"/>
        <w:jc w:val="both"/>
        <w:rPr>
          <w:rFonts w:eastAsia="Times New Roman" w:cstheme="minorHAnsi"/>
          <w:sz w:val="24"/>
          <w:szCs w:val="24"/>
          <w:lang w:eastAsia="tr-TR"/>
        </w:rPr>
      </w:pPr>
      <w:r w:rsidRPr="00E6666E">
        <w:rPr>
          <w:rFonts w:cstheme="minorHAnsi"/>
          <w:sz w:val="24"/>
          <w:szCs w:val="24"/>
        </w:rPr>
        <w:t xml:space="preserve">Küresel iş birliği ve yeşil dönüşüm için ticaretin desteklenmesi amacıyla </w:t>
      </w:r>
      <w:r w:rsidRPr="00E6666E">
        <w:rPr>
          <w:rFonts w:eastAsia="Times New Roman" w:cstheme="minorHAnsi"/>
          <w:sz w:val="24"/>
          <w:szCs w:val="24"/>
        </w:rPr>
        <w:t>AB'nin ikili Anlaşmaları ve Dünya Ticaret Örgütü'nün (DTÖ) çalışmalarına bağlı kalmayı sürdüreceği,</w:t>
      </w:r>
    </w:p>
    <w:p w14:paraId="7BB48821" w14:textId="77777777" w:rsidR="00467961" w:rsidRPr="00E6666E" w:rsidRDefault="00467961" w:rsidP="00467961">
      <w:pPr>
        <w:pStyle w:val="Liste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contextualSpacing w:val="0"/>
        <w:jc w:val="both"/>
        <w:rPr>
          <w:rStyle w:val="y2iqfc"/>
          <w:rFonts w:eastAsia="Times New Roman" w:cstheme="minorHAnsi"/>
          <w:sz w:val="24"/>
          <w:szCs w:val="24"/>
          <w:lang w:eastAsia="tr-TR"/>
        </w:rPr>
      </w:pPr>
      <w:r w:rsidRPr="00E6666E">
        <w:rPr>
          <w:rStyle w:val="y2iqfc"/>
          <w:rFonts w:cstheme="minorHAnsi"/>
          <w:sz w:val="24"/>
          <w:szCs w:val="24"/>
        </w:rPr>
        <w:t>Avrupa Komisyonun etkin uygulama ve yürütme yoluyla halihazırda mevcut olanlardan en iyi şekilde yararlanırken, AB'nin Serbest Ticaret Anlaşmaları ağını güçlendirmeye devam edeceği</w:t>
      </w:r>
      <w:r>
        <w:rPr>
          <w:rStyle w:val="y2iqfc"/>
          <w:rFonts w:cstheme="minorHAnsi"/>
          <w:sz w:val="24"/>
          <w:szCs w:val="24"/>
        </w:rPr>
        <w:t>,</w:t>
      </w:r>
      <w:r w:rsidRPr="00E6666E">
        <w:rPr>
          <w:rStyle w:val="y2iqfc"/>
          <w:rFonts w:cstheme="minorHAnsi"/>
          <w:sz w:val="24"/>
          <w:szCs w:val="24"/>
        </w:rPr>
        <w:t xml:space="preserve"> bu kapsamda </w:t>
      </w:r>
      <w:r w:rsidRPr="00E6666E">
        <w:rPr>
          <w:rFonts w:cstheme="minorHAnsi"/>
          <w:sz w:val="24"/>
          <w:szCs w:val="24"/>
        </w:rPr>
        <w:t xml:space="preserve">Avustralya ile müzakerelerin 2023 yazına kadar sonuçlandırılması, Hindistan ve Endonezya ile önemli ilerleme kaydedilmesi, Şili, Meksika ve Yeni Zelanda ile yapılan anlaşmaların onaylanması ve </w:t>
      </w:r>
      <w:proofErr w:type="spellStart"/>
      <w:r w:rsidRPr="00E6666E">
        <w:rPr>
          <w:rFonts w:cstheme="minorHAnsi"/>
          <w:sz w:val="24"/>
          <w:szCs w:val="24"/>
        </w:rPr>
        <w:t>Mercosur</w:t>
      </w:r>
      <w:proofErr w:type="spellEnd"/>
      <w:r w:rsidRPr="00E6666E">
        <w:rPr>
          <w:rFonts w:cstheme="minorHAnsi"/>
          <w:sz w:val="24"/>
          <w:szCs w:val="24"/>
        </w:rPr>
        <w:t xml:space="preserve"> ile onay sürecinde ilerleme kaydedilmesinin hedeflendiği</w:t>
      </w:r>
      <w:r w:rsidRPr="00E6666E">
        <w:rPr>
          <w:rStyle w:val="y2iqfc"/>
          <w:rFonts w:cstheme="minorHAnsi"/>
          <w:sz w:val="24"/>
          <w:szCs w:val="24"/>
        </w:rPr>
        <w:t xml:space="preserve"> ve ortaklarla geleneksel ticaret anlaşmalarının ötesinde başka iş birliği biçimleri geliştirmeye devam ederek temiz geçişi destekleyeceği,</w:t>
      </w:r>
    </w:p>
    <w:p w14:paraId="57D74FB3" w14:textId="77777777" w:rsidR="00467961" w:rsidRPr="00E6666E" w:rsidRDefault="00467961" w:rsidP="00467961">
      <w:pPr>
        <w:pStyle w:val="ListeParagraf"/>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contextualSpacing w:val="0"/>
        <w:jc w:val="both"/>
        <w:rPr>
          <w:rFonts w:eastAsia="Times New Roman" w:cstheme="minorHAnsi"/>
          <w:sz w:val="24"/>
          <w:szCs w:val="24"/>
          <w:lang w:eastAsia="tr-TR"/>
        </w:rPr>
      </w:pPr>
      <w:r w:rsidRPr="00E6666E">
        <w:rPr>
          <w:rFonts w:eastAsia="Times New Roman" w:cstheme="minorHAnsi"/>
          <w:sz w:val="24"/>
          <w:szCs w:val="24"/>
          <w:lang w:eastAsia="tr-TR"/>
        </w:rPr>
        <w:t>Komisyonun Enflasyon Düşürme Yasasına ilişkin AB-ABD Görev Gücü gibi yeşil geçişi desteklemek için ortaklarla iş birliği yapmaya devam edeceği,</w:t>
      </w:r>
    </w:p>
    <w:p w14:paraId="7A197930" w14:textId="77777777" w:rsidR="00467961" w:rsidRPr="00E6666E" w:rsidRDefault="00467961" w:rsidP="00467961">
      <w:pPr>
        <w:pStyle w:val="ListeParagraf"/>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contextualSpacing w:val="0"/>
        <w:jc w:val="both"/>
        <w:rPr>
          <w:rFonts w:eastAsia="Times New Roman" w:cstheme="minorHAnsi"/>
          <w:sz w:val="24"/>
          <w:szCs w:val="24"/>
          <w:lang w:eastAsia="tr-TR"/>
        </w:rPr>
      </w:pPr>
      <w:r w:rsidRPr="00E6666E">
        <w:rPr>
          <w:rFonts w:eastAsia="Times New Roman" w:cstheme="minorHAnsi"/>
          <w:sz w:val="24"/>
          <w:szCs w:val="24"/>
          <w:lang w:eastAsia="tr-TR"/>
        </w:rPr>
        <w:t>Rekabetçi ve çeşitlendirilmiş bir endüstriyel temel aracılığıyla küresel tedarik güvenliğini sağlamak için hammadde tüketicileri ile kaynak açısından zengin ülkeleri bir araya getirecek bir “</w:t>
      </w:r>
      <w:r w:rsidRPr="00E6666E">
        <w:rPr>
          <w:rFonts w:eastAsia="Times New Roman" w:cstheme="minorHAnsi"/>
          <w:b/>
          <w:sz w:val="24"/>
          <w:szCs w:val="24"/>
          <w:lang w:eastAsia="tr-TR"/>
        </w:rPr>
        <w:t>Kritik Hammaddeler Kulübü”</w:t>
      </w:r>
      <w:r w:rsidRPr="00E6666E">
        <w:rPr>
          <w:rFonts w:eastAsia="Times New Roman" w:cstheme="minorHAnsi"/>
          <w:sz w:val="24"/>
          <w:szCs w:val="24"/>
          <w:lang w:eastAsia="tr-TR"/>
        </w:rPr>
        <w:t xml:space="preserve"> kurmak için Komisyonun, benzer düşünen ortaklarla hammadde sektöründeki ortaklıkların araştırılmasının amaçlandığı,</w:t>
      </w:r>
    </w:p>
    <w:p w14:paraId="3E4B2D9C" w14:textId="77777777" w:rsidR="00467961" w:rsidRPr="00E6666E" w:rsidRDefault="00467961" w:rsidP="00467961">
      <w:pPr>
        <w:pStyle w:val="ListeParagraf"/>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contextualSpacing w:val="0"/>
        <w:jc w:val="both"/>
        <w:rPr>
          <w:rFonts w:eastAsia="Times New Roman" w:cstheme="minorHAnsi"/>
          <w:sz w:val="24"/>
          <w:szCs w:val="24"/>
          <w:lang w:eastAsia="tr-TR"/>
        </w:rPr>
      </w:pPr>
      <w:r w:rsidRPr="00E6666E">
        <w:rPr>
          <w:rFonts w:eastAsia="Times New Roman" w:cstheme="minorHAnsi"/>
          <w:sz w:val="24"/>
          <w:szCs w:val="24"/>
          <w:lang w:eastAsia="tr-TR"/>
        </w:rPr>
        <w:t>Komisyonun, küresel temiz enerji geçişini sağlamada AB endüstriyel yeteneklerinin rolünü desteklemek ve temiz teknolojilerin küresel ölçekte benimsenmesini teşvik etmek için Temiz Teknoloji/Net-Sıfır Endüstriyel Ortaklıklarını araştırmasının hedeflendiği,</w:t>
      </w:r>
    </w:p>
    <w:p w14:paraId="65218739" w14:textId="77777777" w:rsidR="00467961" w:rsidRPr="00E6666E" w:rsidRDefault="00467961" w:rsidP="00467961">
      <w:pPr>
        <w:pStyle w:val="ListeParagraf"/>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tr-TR"/>
        </w:rPr>
      </w:pPr>
      <w:r w:rsidRPr="00E6666E">
        <w:rPr>
          <w:rFonts w:eastAsia="Times New Roman" w:cstheme="minorHAnsi"/>
          <w:sz w:val="24"/>
          <w:szCs w:val="24"/>
          <w:lang w:eastAsia="tr-TR"/>
        </w:rPr>
        <w:lastRenderedPageBreak/>
        <w:t>Ayrıca, Komisyon’un ticari savunma araçlarını kullanarak, AB dışı ülkelerin sübvansiyonlarının temiz teknoloji sektörü de dahil olmak üzere Tek Pazar'daki rekabeti bozmamasının sağlanarak; Tek Pazarın, temiz teknoloji sektöründeki haksız ticaretten de korunacağı,</w:t>
      </w:r>
      <w:r w:rsidRPr="00E6666E">
        <w:rPr>
          <w:rFonts w:cstheme="minorHAnsi"/>
          <w:sz w:val="24"/>
          <w:szCs w:val="24"/>
        </w:rPr>
        <w:t xml:space="preserve"> Yabancı Sübvansiyonlar Tüzüğü, Uluslararası Kamu Alımları Enstrümanı gibi araçlarla AB’nin rekabetçiliğinin korunmasına yönelik tedbirlerin alınacağı </w:t>
      </w:r>
      <w:r w:rsidRPr="00E6666E">
        <w:rPr>
          <w:rFonts w:eastAsia="Times New Roman" w:cstheme="minorHAnsi"/>
          <w:sz w:val="24"/>
          <w:szCs w:val="24"/>
          <w:lang w:eastAsia="tr-TR"/>
        </w:rPr>
        <w:t>vurgulanmaktadır.</w:t>
      </w:r>
    </w:p>
    <w:p w14:paraId="524D6F78" w14:textId="77777777" w:rsidR="00467961" w:rsidRPr="00E6666E" w:rsidRDefault="00467961" w:rsidP="00467961">
      <w:pPr>
        <w:autoSpaceDE w:val="0"/>
        <w:autoSpaceDN w:val="0"/>
        <w:adjustRightInd w:val="0"/>
        <w:spacing w:after="0" w:line="240" w:lineRule="auto"/>
        <w:rPr>
          <w:rFonts w:cstheme="minorHAnsi"/>
          <w:sz w:val="24"/>
          <w:szCs w:val="24"/>
        </w:rPr>
      </w:pPr>
    </w:p>
    <w:p w14:paraId="7FBA3FA8" w14:textId="77777777" w:rsidR="00467961" w:rsidRPr="00E6666E" w:rsidRDefault="00467961" w:rsidP="00467961">
      <w:pPr>
        <w:autoSpaceDE w:val="0"/>
        <w:autoSpaceDN w:val="0"/>
        <w:adjustRightInd w:val="0"/>
        <w:spacing w:after="0" w:line="240" w:lineRule="auto"/>
        <w:jc w:val="both"/>
        <w:rPr>
          <w:rFonts w:cstheme="minorHAnsi"/>
          <w:sz w:val="24"/>
          <w:szCs w:val="24"/>
        </w:rPr>
      </w:pPr>
      <w:r w:rsidRPr="00E6666E">
        <w:rPr>
          <w:rFonts w:cstheme="minorHAnsi"/>
          <w:sz w:val="24"/>
          <w:szCs w:val="24"/>
        </w:rPr>
        <w:t xml:space="preserve">Anılan Plana ilişkin AB basınında, kısa dönemde yeni fon imkanının sunulmamasının eleştiri konusu olarak gündeme geldiği görülmekte ve bu kapsamda AB’nin kazanamayacağı bir sübvansiyon yarışına girdiği; sadece 20 milyar Avroluk yeni bir finansman imkanının eklendiği; </w:t>
      </w:r>
      <w:proofErr w:type="spellStart"/>
      <w:r w:rsidRPr="00E6666E">
        <w:rPr>
          <w:rFonts w:cstheme="minorHAnsi"/>
          <w:sz w:val="24"/>
          <w:szCs w:val="24"/>
        </w:rPr>
        <w:t>pandemi</w:t>
      </w:r>
      <w:proofErr w:type="spellEnd"/>
      <w:r w:rsidRPr="00E6666E">
        <w:rPr>
          <w:rFonts w:cstheme="minorHAnsi"/>
          <w:sz w:val="24"/>
          <w:szCs w:val="24"/>
        </w:rPr>
        <w:t xml:space="preserve"> ve Ukrayna'daki savaşın ardından üç yıldır gevşetilmiş olan acil devlet yardımı kurallarına daha fazla esnekler sağlanmasının bloğun en zengin ülkelerine daha fazla kredi imkanı sağlayarak Tek Pazar’ın adil işleyişine zarar verebileceği, sübvansiyon yarışlarına yol açabileceği ve bunun sonucunda bölgesel kalkınmanın zayıflayabileceği vurgulanmaktadır.</w:t>
      </w:r>
    </w:p>
    <w:p w14:paraId="304B93B0" w14:textId="77777777" w:rsidR="00467961" w:rsidRPr="00467961" w:rsidRDefault="00467961" w:rsidP="004679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heme="minorHAnsi"/>
          <w:sz w:val="24"/>
          <w:szCs w:val="24"/>
          <w:lang w:eastAsia="tr-TR"/>
        </w:rPr>
      </w:pPr>
    </w:p>
    <w:p w14:paraId="241340BF" w14:textId="77777777" w:rsidR="00467961" w:rsidRPr="00467961" w:rsidRDefault="00467961" w:rsidP="00467961">
      <w:pPr>
        <w:spacing w:after="120" w:line="240" w:lineRule="auto"/>
        <w:jc w:val="both"/>
        <w:rPr>
          <w:rFonts w:cstheme="minorHAnsi"/>
          <w:sz w:val="24"/>
          <w:szCs w:val="24"/>
        </w:rPr>
      </w:pPr>
    </w:p>
    <w:p w14:paraId="13F477E0" w14:textId="77777777" w:rsidR="00467961" w:rsidRDefault="00467961" w:rsidP="00467961">
      <w:pPr>
        <w:jc w:val="both"/>
      </w:pPr>
    </w:p>
    <w:sectPr w:rsidR="0046796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FAAFD" w14:textId="77777777" w:rsidR="000B3F99" w:rsidRDefault="000B3F99" w:rsidP="00D3338D">
      <w:pPr>
        <w:spacing w:after="0" w:line="240" w:lineRule="auto"/>
      </w:pPr>
      <w:r>
        <w:separator/>
      </w:r>
    </w:p>
  </w:endnote>
  <w:endnote w:type="continuationSeparator" w:id="0">
    <w:p w14:paraId="57CFFA32" w14:textId="77777777" w:rsidR="000B3F99" w:rsidRDefault="000B3F99" w:rsidP="00D33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E2D2" w14:textId="1B60C626" w:rsidR="00D3338D" w:rsidRDefault="00D3338D">
    <w:pPr>
      <w:pStyle w:val="Altbilgi"/>
    </w:pPr>
  </w:p>
  <w:p w14:paraId="137CECD4" w14:textId="77777777" w:rsidR="00D3338D" w:rsidRDefault="00D3338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DCFA7" w14:textId="68DCC145" w:rsidR="00D3338D" w:rsidRDefault="00D3338D">
    <w:pPr>
      <w:pStyle w:val="Altbilgi"/>
    </w:pPr>
  </w:p>
  <w:p w14:paraId="68369604" w14:textId="77777777" w:rsidR="00D3338D" w:rsidRDefault="00D3338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47C4A" w14:textId="0CA653A7" w:rsidR="00D3338D" w:rsidRPr="00D3338D" w:rsidRDefault="00D3338D" w:rsidP="00D3338D">
    <w:pPr>
      <w:pStyle w:val="Altbilgi"/>
      <w:jc w:val="both"/>
      <w:rPr>
        <w:sz w:val="18"/>
        <w:szCs w:val="18"/>
      </w:rPr>
    </w:pPr>
    <w:r>
      <w:rPr>
        <w:sz w:val="18"/>
        <w:szCs w:val="18"/>
      </w:rPr>
      <w:t xml:space="preserve">Yeşil Mutabakat Sanayi Planına </w:t>
    </w:r>
    <w:hyperlink r:id="rId1" w:history="1">
      <w:r w:rsidRPr="00D3338D">
        <w:rPr>
          <w:rStyle w:val="Kpr"/>
          <w:color w:val="auto"/>
          <w:sz w:val="18"/>
          <w:szCs w:val="18"/>
          <w:u w:val="none"/>
        </w:rPr>
        <w:t>https://commission.europa.eu/document/41514677-9598-4d89-a572-abe21cb037f4_en</w:t>
      </w:r>
    </w:hyperlink>
    <w:r w:rsidRPr="00D3338D">
      <w:rPr>
        <w:sz w:val="18"/>
        <w:szCs w:val="18"/>
      </w:rPr>
      <w:t xml:space="preserve"> </w:t>
    </w:r>
    <w:r>
      <w:rPr>
        <w:sz w:val="18"/>
        <w:szCs w:val="18"/>
      </w:rPr>
      <w:t xml:space="preserve">adresinden ulaşılabilmek ve s.11-12’de </w:t>
    </w:r>
    <w:proofErr w:type="spellStart"/>
    <w:r>
      <w:rPr>
        <w:sz w:val="18"/>
        <w:szCs w:val="18"/>
      </w:rPr>
      <w:t>InvestEU</w:t>
    </w:r>
    <w:proofErr w:type="spellEnd"/>
    <w:r>
      <w:rPr>
        <w:sz w:val="18"/>
        <w:szCs w:val="18"/>
      </w:rPr>
      <w:t xml:space="preserve"> kapsamında AB tarafından onaylanan projeler görülmektedir.</w:t>
    </w:r>
  </w:p>
  <w:p w14:paraId="0730EA25" w14:textId="77777777" w:rsidR="00D3338D" w:rsidRDefault="00D3338D">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6FB64" w14:textId="23D8B1BA" w:rsidR="00D3338D" w:rsidRDefault="00D3338D">
    <w:pPr>
      <w:pStyle w:val="Altbilgi"/>
    </w:pPr>
  </w:p>
  <w:p w14:paraId="5716E193" w14:textId="77777777" w:rsidR="00D3338D" w:rsidRDefault="00D333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118C6" w14:textId="77777777" w:rsidR="000B3F99" w:rsidRDefault="000B3F99" w:rsidP="00D3338D">
      <w:pPr>
        <w:spacing w:after="0" w:line="240" w:lineRule="auto"/>
      </w:pPr>
      <w:r>
        <w:separator/>
      </w:r>
    </w:p>
  </w:footnote>
  <w:footnote w:type="continuationSeparator" w:id="0">
    <w:p w14:paraId="5F9471A4" w14:textId="77777777" w:rsidR="000B3F99" w:rsidRDefault="000B3F99" w:rsidP="00D333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5635"/>
    <w:multiLevelType w:val="hybridMultilevel"/>
    <w:tmpl w:val="C5946A7E"/>
    <w:lvl w:ilvl="0" w:tplc="5024F6C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DD6336"/>
    <w:multiLevelType w:val="hybridMultilevel"/>
    <w:tmpl w:val="EC787F04"/>
    <w:lvl w:ilvl="0" w:tplc="5024F6C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27860"/>
    <w:multiLevelType w:val="hybridMultilevel"/>
    <w:tmpl w:val="8B129702"/>
    <w:lvl w:ilvl="0" w:tplc="5024F6C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82E374E"/>
    <w:multiLevelType w:val="hybridMultilevel"/>
    <w:tmpl w:val="B082214C"/>
    <w:lvl w:ilvl="0" w:tplc="5024F6C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2D"/>
    <w:rsid w:val="000B3F99"/>
    <w:rsid w:val="000C0242"/>
    <w:rsid w:val="0023727D"/>
    <w:rsid w:val="00377A25"/>
    <w:rsid w:val="003C2132"/>
    <w:rsid w:val="00444420"/>
    <w:rsid w:val="00467961"/>
    <w:rsid w:val="007A042E"/>
    <w:rsid w:val="00823DCB"/>
    <w:rsid w:val="00A4470F"/>
    <w:rsid w:val="00A63E23"/>
    <w:rsid w:val="00AD0E2D"/>
    <w:rsid w:val="00B764D6"/>
    <w:rsid w:val="00B828B1"/>
    <w:rsid w:val="00D3338D"/>
    <w:rsid w:val="00EC14FC"/>
    <w:rsid w:val="00F53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7D26AC"/>
  <w15:chartTrackingRefBased/>
  <w15:docId w15:val="{A88D2BFB-5C11-4559-ACB0-CC5AA22B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9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2iqfc">
    <w:name w:val="y2iqfc"/>
    <w:basedOn w:val="VarsaylanParagrafYazTipi"/>
    <w:rsid w:val="00467961"/>
  </w:style>
  <w:style w:type="paragraph" w:styleId="AklamaMetni">
    <w:name w:val="annotation text"/>
    <w:basedOn w:val="Normal"/>
    <w:link w:val="AklamaMetniChar"/>
    <w:uiPriority w:val="99"/>
    <w:unhideWhenUsed/>
    <w:rsid w:val="00467961"/>
    <w:pPr>
      <w:spacing w:after="111" w:line="240" w:lineRule="auto"/>
      <w:ind w:left="2948" w:hanging="10"/>
      <w:jc w:val="both"/>
    </w:pPr>
    <w:rPr>
      <w:rFonts w:ascii="Times New Roman" w:eastAsia="Times New Roman"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rsid w:val="00467961"/>
    <w:rPr>
      <w:rFonts w:ascii="Times New Roman" w:eastAsia="Times New Roman" w:hAnsi="Times New Roman" w:cs="Times New Roman"/>
      <w:color w:val="000000"/>
      <w:sz w:val="20"/>
      <w:szCs w:val="20"/>
      <w:lang w:eastAsia="tr-TR"/>
    </w:rPr>
  </w:style>
  <w:style w:type="paragraph" w:styleId="HTMLncedenBiimlendirilmi">
    <w:name w:val="HTML Preformatted"/>
    <w:basedOn w:val="Normal"/>
    <w:link w:val="HTMLncedenBiimlendirilmiChar"/>
    <w:uiPriority w:val="99"/>
    <w:unhideWhenUsed/>
    <w:rsid w:val="0046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467961"/>
    <w:rPr>
      <w:rFonts w:ascii="Courier New" w:eastAsia="Times New Roman" w:hAnsi="Courier New" w:cs="Courier New"/>
      <w:sz w:val="20"/>
      <w:szCs w:val="20"/>
      <w:lang w:eastAsia="tr-TR"/>
    </w:rPr>
  </w:style>
  <w:style w:type="paragraph" w:styleId="ListeParagraf">
    <w:name w:val="List Paragraph"/>
    <w:basedOn w:val="Normal"/>
    <w:uiPriority w:val="34"/>
    <w:qFormat/>
    <w:rsid w:val="00467961"/>
    <w:pPr>
      <w:ind w:left="720"/>
      <w:contextualSpacing/>
    </w:pPr>
  </w:style>
  <w:style w:type="paragraph" w:styleId="stbilgi">
    <w:name w:val="header"/>
    <w:basedOn w:val="Normal"/>
    <w:link w:val="stbilgiChar"/>
    <w:uiPriority w:val="99"/>
    <w:unhideWhenUsed/>
    <w:rsid w:val="00D333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338D"/>
  </w:style>
  <w:style w:type="paragraph" w:styleId="Altbilgi">
    <w:name w:val="footer"/>
    <w:basedOn w:val="Normal"/>
    <w:link w:val="AltbilgiChar"/>
    <w:uiPriority w:val="99"/>
    <w:unhideWhenUsed/>
    <w:rsid w:val="00D333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338D"/>
  </w:style>
  <w:style w:type="character" w:styleId="Kpr">
    <w:name w:val="Hyperlink"/>
    <w:basedOn w:val="VarsaylanParagrafYazTipi"/>
    <w:uiPriority w:val="99"/>
    <w:unhideWhenUsed/>
    <w:rsid w:val="00D3338D"/>
    <w:rPr>
      <w:color w:val="0563C1" w:themeColor="hyperlink"/>
      <w:u w:val="single"/>
    </w:rPr>
  </w:style>
  <w:style w:type="character" w:customStyle="1" w:styleId="UnresolvedMention">
    <w:name w:val="Unresolved Mention"/>
    <w:basedOn w:val="VarsaylanParagrafYazTipi"/>
    <w:uiPriority w:val="99"/>
    <w:semiHidden/>
    <w:unhideWhenUsed/>
    <w:rsid w:val="00D33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26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commission.europa.eu/document/41514677-9598-4d89-a572-abe21cb037f4_e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11997</Characters>
  <Application>Microsoft Office Word</Application>
  <DocSecurity>0</DocSecurity>
  <Lines>307</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Selek</dc:creator>
  <cp:keywords/>
  <dc:description/>
  <cp:lastModifiedBy>Fatma Asena YILDIRIM</cp:lastModifiedBy>
  <cp:revision>2</cp:revision>
  <dcterms:created xsi:type="dcterms:W3CDTF">2023-03-01T11:47:00Z</dcterms:created>
  <dcterms:modified xsi:type="dcterms:W3CDTF">2023-03-01T11:47:00Z</dcterms:modified>
</cp:coreProperties>
</file>