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CBE60" w14:textId="77777777" w:rsidR="00A20649" w:rsidRPr="00A20649" w:rsidRDefault="00A20649" w:rsidP="00A20649">
      <w:pPr>
        <w:spacing w:after="0" w:line="240" w:lineRule="auto"/>
        <w:rPr>
          <w:b/>
          <w:sz w:val="24"/>
          <w:szCs w:val="24"/>
          <w:lang w:val="tr-TR"/>
        </w:rPr>
      </w:pPr>
      <w:bookmarkStart w:id="0" w:name="_GoBack"/>
      <w:bookmarkEnd w:id="0"/>
      <w:r w:rsidRPr="00A20649">
        <w:rPr>
          <w:b/>
          <w:sz w:val="24"/>
          <w:szCs w:val="24"/>
          <w:lang w:val="tr-TR"/>
        </w:rPr>
        <w:t>T.C. Ticaret Bakanlığı</w:t>
      </w:r>
    </w:p>
    <w:p w14:paraId="38F04257" w14:textId="77777777" w:rsidR="00A20649" w:rsidRPr="00A20649" w:rsidRDefault="00A20649" w:rsidP="00A20649">
      <w:pPr>
        <w:spacing w:after="0" w:line="240" w:lineRule="auto"/>
        <w:rPr>
          <w:b/>
          <w:sz w:val="24"/>
          <w:szCs w:val="24"/>
          <w:lang w:val="tr-TR"/>
        </w:rPr>
      </w:pPr>
      <w:r w:rsidRPr="00A20649">
        <w:rPr>
          <w:b/>
          <w:sz w:val="24"/>
          <w:szCs w:val="24"/>
          <w:lang w:val="tr-TR"/>
        </w:rPr>
        <w:t>Uluslararası Anlaşmalar ve AB Genel Müdürlüğü</w:t>
      </w:r>
    </w:p>
    <w:p w14:paraId="2E9AD265" w14:textId="742DD8CC" w:rsidR="00A20649" w:rsidRPr="00A20649" w:rsidRDefault="00A20649" w:rsidP="00A20649">
      <w:pPr>
        <w:rPr>
          <w:rFonts w:cstheme="minorHAnsi"/>
          <w:b/>
          <w:bCs/>
          <w:sz w:val="24"/>
          <w:szCs w:val="24"/>
          <w:lang w:val="tr-TR"/>
        </w:rPr>
      </w:pPr>
      <w:r w:rsidRPr="00A20649">
        <w:rPr>
          <w:b/>
          <w:sz w:val="24"/>
          <w:szCs w:val="24"/>
          <w:lang w:val="tr-TR"/>
        </w:rPr>
        <w:t>AB Tek Pazar ve Yeşil Mutabakatı Dairesi</w:t>
      </w:r>
    </w:p>
    <w:p w14:paraId="2EA2DD33" w14:textId="77777777" w:rsidR="00A20649" w:rsidRDefault="00A20649" w:rsidP="00286FBE">
      <w:pPr>
        <w:jc w:val="center"/>
        <w:rPr>
          <w:rFonts w:cstheme="minorHAnsi"/>
          <w:b/>
          <w:bCs/>
          <w:sz w:val="24"/>
          <w:szCs w:val="24"/>
          <w:lang w:val="tr-TR"/>
        </w:rPr>
      </w:pPr>
    </w:p>
    <w:p w14:paraId="47830599" w14:textId="1DE2F81B" w:rsidR="000806E2" w:rsidRPr="006E109C" w:rsidRDefault="00E50E11" w:rsidP="00A20649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tr-TR"/>
        </w:rPr>
      </w:pPr>
      <w:r w:rsidRPr="006E109C">
        <w:rPr>
          <w:rFonts w:cstheme="minorHAnsi"/>
          <w:b/>
          <w:bCs/>
          <w:sz w:val="24"/>
          <w:szCs w:val="24"/>
          <w:lang w:val="tr-TR"/>
        </w:rPr>
        <w:t xml:space="preserve">Avrupa Kimya Endüstrisi Geçiş Yol Haritası </w:t>
      </w:r>
    </w:p>
    <w:p w14:paraId="75C94944" w14:textId="622EE2EA" w:rsidR="003F33CB" w:rsidRPr="00686727" w:rsidRDefault="003F33CB" w:rsidP="00A20649">
      <w:pPr>
        <w:spacing w:line="240" w:lineRule="auto"/>
        <w:jc w:val="both"/>
        <w:rPr>
          <w:rFonts w:eastAsia="Times New Roman" w:cstheme="minorHAnsi"/>
          <w:color w:val="202124"/>
          <w:sz w:val="24"/>
          <w:szCs w:val="24"/>
          <w:lang w:val="tr-TR"/>
        </w:rPr>
      </w:pPr>
      <w:bookmarkStart w:id="1" w:name="_Hlk126571148"/>
      <w:r w:rsidRPr="00686727">
        <w:rPr>
          <w:rFonts w:cstheme="minorHAnsi"/>
          <w:sz w:val="24"/>
          <w:szCs w:val="24"/>
          <w:lang w:val="tr-TR"/>
        </w:rPr>
        <w:t>Avrupa Komisyonu</w:t>
      </w:r>
      <w:r w:rsidR="00CD406A" w:rsidRPr="00686727">
        <w:rPr>
          <w:rFonts w:cstheme="minorHAnsi"/>
          <w:sz w:val="24"/>
          <w:szCs w:val="24"/>
          <w:lang w:val="tr-TR"/>
        </w:rPr>
        <w:t>,</w:t>
      </w:r>
      <w:r w:rsidRPr="00686727">
        <w:rPr>
          <w:rFonts w:cstheme="minorHAnsi"/>
          <w:sz w:val="24"/>
          <w:szCs w:val="24"/>
          <w:lang w:val="tr-TR"/>
        </w:rPr>
        <w:t xml:space="preserve"> 2020 yılında Sürdürülebilirlik için Kimyasallar Stratejisini kabul etmiş olup </w:t>
      </w:r>
      <w:r w:rsidR="00B71759" w:rsidRPr="00686727">
        <w:rPr>
          <w:rFonts w:cstheme="minorHAnsi"/>
          <w:sz w:val="24"/>
          <w:szCs w:val="24"/>
          <w:lang w:val="tr-TR"/>
        </w:rPr>
        <w:t xml:space="preserve">bahis konusu Strateji, </w:t>
      </w:r>
      <w:proofErr w:type="spellStart"/>
      <w:r w:rsidRPr="00686727">
        <w:rPr>
          <w:rFonts w:eastAsia="Times New Roman" w:cstheme="minorHAnsi"/>
          <w:color w:val="202124"/>
          <w:sz w:val="24"/>
          <w:szCs w:val="24"/>
          <w:lang w:val="tr-TR"/>
        </w:rPr>
        <w:t>toksik</w:t>
      </w:r>
      <w:proofErr w:type="spellEnd"/>
      <w:r w:rsidRPr="00686727">
        <w:rPr>
          <w:rFonts w:eastAsia="Times New Roman" w:cstheme="minorHAnsi"/>
          <w:color w:val="202124"/>
          <w:sz w:val="24"/>
          <w:szCs w:val="24"/>
          <w:lang w:val="tr-TR"/>
        </w:rPr>
        <w:t xml:space="preserve"> madde içermeyen malzeme döngülerinin ve temiz geri dönüşümün teşvik edilmesi de dahil olmak üzere Avrupa Kimya Endüstrisi Geçiş Yol Haritasın</w:t>
      </w:r>
      <w:r w:rsidR="00B71759" w:rsidRPr="00686727">
        <w:rPr>
          <w:rFonts w:eastAsia="Times New Roman" w:cstheme="minorHAnsi"/>
          <w:color w:val="202124"/>
          <w:sz w:val="24"/>
          <w:szCs w:val="24"/>
          <w:lang w:val="tr-TR"/>
        </w:rPr>
        <w:t>a dayanak oluşturmaktadır</w:t>
      </w:r>
      <w:r w:rsidRPr="00686727">
        <w:rPr>
          <w:rFonts w:eastAsia="Times New Roman" w:cstheme="minorHAnsi"/>
          <w:color w:val="202124"/>
          <w:sz w:val="24"/>
          <w:szCs w:val="24"/>
          <w:lang w:val="tr-TR"/>
        </w:rPr>
        <w:t xml:space="preserve">. </w:t>
      </w:r>
      <w:bookmarkEnd w:id="1"/>
      <w:r w:rsidRPr="00686727">
        <w:rPr>
          <w:rFonts w:eastAsia="Times New Roman" w:cstheme="minorHAnsi"/>
          <w:color w:val="202124"/>
          <w:sz w:val="24"/>
          <w:szCs w:val="24"/>
          <w:lang w:val="tr-TR"/>
        </w:rPr>
        <w:t xml:space="preserve"> </w:t>
      </w:r>
    </w:p>
    <w:p w14:paraId="56F1B714" w14:textId="16257C68" w:rsidR="00945201" w:rsidRPr="006E109C" w:rsidRDefault="00B71759" w:rsidP="00A20649">
      <w:pPr>
        <w:spacing w:line="240" w:lineRule="auto"/>
        <w:jc w:val="both"/>
        <w:rPr>
          <w:rStyle w:val="cf01"/>
          <w:rFonts w:asciiTheme="minorHAnsi" w:hAnsiTheme="minorHAnsi" w:cstheme="minorHAnsi"/>
          <w:sz w:val="24"/>
          <w:szCs w:val="24"/>
          <w:lang w:val="tr-TR"/>
        </w:rPr>
      </w:pPr>
      <w:r>
        <w:rPr>
          <w:rStyle w:val="cf01"/>
          <w:rFonts w:asciiTheme="minorHAnsi" w:hAnsiTheme="minorHAnsi" w:cstheme="minorHAnsi"/>
          <w:sz w:val="24"/>
          <w:szCs w:val="24"/>
          <w:lang w:val="tr-TR"/>
        </w:rPr>
        <w:t xml:space="preserve">Bu kapsamda, </w:t>
      </w:r>
      <w:r w:rsidR="00286FBE" w:rsidRPr="006E109C">
        <w:rPr>
          <w:rStyle w:val="cf01"/>
          <w:rFonts w:asciiTheme="minorHAnsi" w:hAnsiTheme="minorHAnsi" w:cstheme="minorHAnsi"/>
          <w:sz w:val="24"/>
          <w:szCs w:val="24"/>
          <w:lang w:val="tr-TR"/>
        </w:rPr>
        <w:t>Avrupa Komisyonu tarafından, 27 Ocak 2023 tarihinde kimya endüstrisine yönelik bir geçiş yol haritası yayımlanmıştır.</w:t>
      </w:r>
      <w:r w:rsidR="00945201" w:rsidRPr="006E109C">
        <w:rPr>
          <w:rStyle w:val="cf01"/>
          <w:rFonts w:asciiTheme="minorHAnsi" w:hAnsiTheme="minorHAnsi" w:cstheme="minorHAnsi"/>
          <w:sz w:val="24"/>
          <w:szCs w:val="24"/>
          <w:lang w:val="tr-TR"/>
        </w:rPr>
        <w:t xml:space="preserve"> Çeşitli başlıklar altında tanımlanan eylemlerin uygulanmasıyla </w:t>
      </w:r>
      <w:r>
        <w:rPr>
          <w:rStyle w:val="cf01"/>
          <w:rFonts w:asciiTheme="minorHAnsi" w:hAnsiTheme="minorHAnsi" w:cstheme="minorHAnsi"/>
          <w:sz w:val="24"/>
          <w:szCs w:val="24"/>
          <w:lang w:val="tr-TR"/>
        </w:rPr>
        <w:t xml:space="preserve">AB </w:t>
      </w:r>
      <w:r w:rsidR="003F33CB">
        <w:rPr>
          <w:rStyle w:val="cf01"/>
          <w:rFonts w:asciiTheme="minorHAnsi" w:hAnsiTheme="minorHAnsi" w:cstheme="minorHAnsi"/>
          <w:sz w:val="24"/>
          <w:szCs w:val="24"/>
          <w:lang w:val="tr-TR"/>
        </w:rPr>
        <w:t>k</w:t>
      </w:r>
      <w:r w:rsidR="00945201" w:rsidRPr="006E109C">
        <w:rPr>
          <w:rStyle w:val="cf01"/>
          <w:rFonts w:asciiTheme="minorHAnsi" w:hAnsiTheme="minorHAnsi" w:cstheme="minorHAnsi"/>
          <w:sz w:val="24"/>
          <w:szCs w:val="24"/>
          <w:lang w:val="tr-TR"/>
        </w:rPr>
        <w:t>imya sektörünün, Avrupa Yeşil Mutabakatına</w:t>
      </w:r>
      <w:r w:rsidR="003F33CB">
        <w:rPr>
          <w:rStyle w:val="cf01"/>
          <w:rFonts w:asciiTheme="minorHAnsi" w:hAnsiTheme="minorHAnsi" w:cstheme="minorHAnsi"/>
          <w:sz w:val="24"/>
          <w:szCs w:val="24"/>
          <w:lang w:val="tr-TR"/>
        </w:rPr>
        <w:t xml:space="preserve"> (AYM)</w:t>
      </w:r>
      <w:r w:rsidR="00945201" w:rsidRPr="006E109C">
        <w:rPr>
          <w:rStyle w:val="cf01"/>
          <w:rFonts w:asciiTheme="minorHAnsi" w:hAnsiTheme="minorHAnsi" w:cstheme="minorHAnsi"/>
          <w:sz w:val="24"/>
          <w:szCs w:val="24"/>
          <w:lang w:val="tr-TR"/>
        </w:rPr>
        <w:t xml:space="preserve"> uygun olarak, yeşil ve dijital dönüşümünü </w:t>
      </w:r>
      <w:r w:rsidR="003F33CB">
        <w:rPr>
          <w:rStyle w:val="cf01"/>
          <w:rFonts w:asciiTheme="minorHAnsi" w:hAnsiTheme="minorHAnsi" w:cstheme="minorHAnsi"/>
          <w:sz w:val="24"/>
          <w:szCs w:val="24"/>
          <w:lang w:val="tr-TR"/>
        </w:rPr>
        <w:t>tamamlaması</w:t>
      </w:r>
      <w:r w:rsidR="00945201" w:rsidRPr="006E109C">
        <w:rPr>
          <w:rStyle w:val="cf01"/>
          <w:rFonts w:asciiTheme="minorHAnsi" w:hAnsiTheme="minorHAnsi" w:cstheme="minorHAnsi"/>
          <w:sz w:val="24"/>
          <w:szCs w:val="24"/>
          <w:lang w:val="tr-TR"/>
        </w:rPr>
        <w:t xml:space="preserve">; kendi dayanıklılığını, sürdürülebilirliğini ve döngüselliğini geliştirmesi </w:t>
      </w:r>
      <w:r>
        <w:rPr>
          <w:rStyle w:val="cf01"/>
          <w:rFonts w:asciiTheme="minorHAnsi" w:hAnsiTheme="minorHAnsi" w:cstheme="minorHAnsi"/>
          <w:sz w:val="24"/>
          <w:szCs w:val="24"/>
          <w:lang w:val="tr-TR"/>
        </w:rPr>
        <w:t>amaçlanmaktadır</w:t>
      </w:r>
      <w:r w:rsidR="00945201" w:rsidRPr="006E109C">
        <w:rPr>
          <w:rStyle w:val="cf01"/>
          <w:rFonts w:asciiTheme="minorHAnsi" w:hAnsiTheme="minorHAnsi" w:cstheme="minorHAnsi"/>
          <w:sz w:val="24"/>
          <w:szCs w:val="24"/>
          <w:lang w:val="tr-TR"/>
        </w:rPr>
        <w:t>. Yol haritasının ilk aşamasının 2023 ilkbaharında başlatılacağı ve bu süreçte belirli konuları ele almak üzere çalışma gruplarının kurulabileceği; üstlenilen eylemlerin envanterini çıkarmak için de yıllık bir paydaş toplantısı düzenlenebileceği belirtilmektedir.</w:t>
      </w:r>
    </w:p>
    <w:p w14:paraId="72D5D10F" w14:textId="710C5991" w:rsidR="00B71759" w:rsidRDefault="00B71759" w:rsidP="00B71759">
      <w:pPr>
        <w:pStyle w:val="AklamaMetni"/>
        <w:rPr>
          <w:rFonts w:asciiTheme="minorHAnsi" w:hAnsiTheme="minorHAnsi" w:cstheme="minorHAnsi"/>
          <w:color w:val="auto"/>
          <w:sz w:val="24"/>
          <w:szCs w:val="24"/>
        </w:rPr>
      </w:pPr>
      <w:r w:rsidRPr="00944A3E">
        <w:rPr>
          <w:rFonts w:asciiTheme="minorHAnsi" w:hAnsiTheme="minorHAnsi" w:cstheme="minorHAnsi"/>
          <w:color w:val="auto"/>
          <w:sz w:val="24"/>
          <w:szCs w:val="24"/>
        </w:rPr>
        <w:t>Avrupa Komisyonu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ve paydaşlar tarafından kimya endüstrisinin ikiz dönüşümünü sağlayabilmek amacıyla belirlenen 8 ana başlık, bir takvime</w:t>
      </w:r>
      <w:r w:rsidR="00A748ED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t>1</w:t>
      </w:r>
      <w:r w:rsidR="0082213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>göre sıralanmış olup</w:t>
      </w:r>
      <w:r w:rsidR="00CD406A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  <w:r w:rsidRPr="00231D90">
        <w:rPr>
          <w:rFonts w:asciiTheme="minorHAnsi" w:eastAsia="Times New Roman" w:hAnsiTheme="minorHAnsi" w:cstheme="minorHAnsi"/>
          <w:color w:val="202124"/>
          <w:sz w:val="24"/>
          <w:szCs w:val="24"/>
        </w:rPr>
        <w:t>yenilik için işbirliği</w:t>
      </w:r>
      <w:r>
        <w:rPr>
          <w:rFonts w:asciiTheme="minorHAnsi" w:eastAsia="Times New Roman" w:hAnsiTheme="minorHAnsi" w:cstheme="minorHAnsi"/>
          <w:color w:val="202124"/>
          <w:sz w:val="24"/>
          <w:szCs w:val="24"/>
        </w:rPr>
        <w:t>,</w:t>
      </w:r>
      <w:r w:rsidRPr="00231D90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 temiz enerji kaynağ</w:t>
      </w:r>
      <w:r>
        <w:rPr>
          <w:rFonts w:asciiTheme="minorHAnsi" w:eastAsia="Times New Roman" w:hAnsiTheme="minorHAnsi" w:cstheme="minorHAnsi"/>
          <w:color w:val="202124"/>
          <w:sz w:val="24"/>
          <w:szCs w:val="24"/>
        </w:rPr>
        <w:t>ı</w:t>
      </w:r>
      <w:r w:rsidRPr="00231D90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 ve hammadde çeşitlendirme</w:t>
      </w:r>
      <w:r>
        <w:rPr>
          <w:rFonts w:asciiTheme="minorHAnsi" w:eastAsia="Times New Roman" w:hAnsiTheme="minorHAnsi" w:cstheme="minorHAnsi"/>
          <w:color w:val="202124"/>
          <w:sz w:val="24"/>
          <w:szCs w:val="24"/>
        </w:rPr>
        <w:t>ye dayalı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A6106">
        <w:rPr>
          <w:rFonts w:asciiTheme="minorHAnsi" w:hAnsiTheme="minorHAnsi" w:cstheme="minorHAnsi"/>
          <w:b/>
          <w:color w:val="auto"/>
          <w:sz w:val="24"/>
          <w:szCs w:val="24"/>
        </w:rPr>
        <w:t>“eylem odaklı”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7A6106">
        <w:rPr>
          <w:rFonts w:asciiTheme="minorHAnsi" w:hAnsiTheme="minorHAnsi" w:cstheme="minorHAnsi"/>
          <w:color w:val="auto"/>
          <w:sz w:val="24"/>
          <w:szCs w:val="24"/>
        </w:rPr>
        <w:t xml:space="preserve">bileşen; ikiz dönüşüme katkı olarak teknolojiyle ilgili </w:t>
      </w:r>
      <w:proofErr w:type="spellStart"/>
      <w:r w:rsidRPr="007A6106">
        <w:rPr>
          <w:rFonts w:asciiTheme="minorHAnsi" w:hAnsiTheme="minorHAnsi" w:cstheme="minorHAnsi"/>
          <w:color w:val="auto"/>
          <w:sz w:val="24"/>
          <w:szCs w:val="24"/>
        </w:rPr>
        <w:t>biyokütle</w:t>
      </w:r>
      <w:proofErr w:type="spellEnd"/>
      <w:r w:rsidRPr="007A6106">
        <w:rPr>
          <w:rFonts w:asciiTheme="minorHAnsi" w:hAnsiTheme="minorHAnsi" w:cstheme="minorHAnsi"/>
          <w:color w:val="auto"/>
          <w:sz w:val="24"/>
          <w:szCs w:val="24"/>
        </w:rPr>
        <w:t>, elektrifikasyon, atık, karbon yakalama kullanma ve depolama gibi çeşitli konuları ele alan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7A6106">
        <w:rPr>
          <w:rFonts w:asciiTheme="minorHAnsi" w:hAnsiTheme="minorHAnsi" w:cstheme="minorHAnsi"/>
          <w:b/>
          <w:color w:val="auto"/>
          <w:sz w:val="24"/>
          <w:szCs w:val="24"/>
        </w:rPr>
        <w:t>“teknoloji”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bileşeni ve </w:t>
      </w:r>
      <w:r>
        <w:rPr>
          <w:rFonts w:asciiTheme="minorHAnsi" w:eastAsia="Times New Roman" w:hAnsiTheme="minorHAnsi" w:cstheme="minorHAnsi"/>
          <w:color w:val="202124"/>
          <w:sz w:val="24"/>
          <w:szCs w:val="24"/>
        </w:rPr>
        <w:t>ki</w:t>
      </w:r>
      <w:r w:rsidRPr="00231D90">
        <w:rPr>
          <w:rFonts w:asciiTheme="minorHAnsi" w:eastAsia="Times New Roman" w:hAnsiTheme="minorHAnsi" w:cstheme="minorHAnsi"/>
          <w:color w:val="202124"/>
          <w:sz w:val="24"/>
          <w:szCs w:val="24"/>
        </w:rPr>
        <w:t>mya endüstrisindeki gelişmeleri etkileyen başlıca Ar-Ge girişimleri dahil olmak üzere mevcut mevzuatı toplayan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A6106">
        <w:rPr>
          <w:rFonts w:asciiTheme="minorHAnsi" w:hAnsiTheme="minorHAnsi" w:cstheme="minorHAnsi"/>
          <w:b/>
          <w:color w:val="auto"/>
          <w:sz w:val="24"/>
          <w:szCs w:val="24"/>
        </w:rPr>
        <w:t>“düzenleyici”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olmak üzere üç bileşenden oluşan bir yol haritası oluşturulmuştur. </w:t>
      </w:r>
    </w:p>
    <w:p w14:paraId="28FAF429" w14:textId="2DB13843" w:rsidR="006A4D0A" w:rsidRPr="006E109C" w:rsidRDefault="00B71759" w:rsidP="00066BB8">
      <w:pPr>
        <w:pStyle w:val="AklamaMetni"/>
        <w:rPr>
          <w:rFonts w:asciiTheme="minorHAnsi" w:eastAsia="Times New Roman" w:hAnsiTheme="minorHAnsi" w:cstheme="minorHAnsi"/>
          <w:color w:val="202124"/>
          <w:sz w:val="24"/>
          <w:szCs w:val="24"/>
        </w:rPr>
      </w:pPr>
      <w:r w:rsidRPr="0035630D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Avrupa kimya endüstrisinin, her başlık altında belirlenen eylemlerin uygulanmasıyla, </w:t>
      </w:r>
      <w:proofErr w:type="spellStart"/>
      <w:r w:rsidR="00C6493A">
        <w:rPr>
          <w:rFonts w:asciiTheme="minorHAnsi" w:eastAsia="Times New Roman" w:hAnsiTheme="minorHAnsi" w:cstheme="minorHAnsi"/>
          <w:color w:val="202124"/>
          <w:sz w:val="24"/>
          <w:szCs w:val="24"/>
        </w:rPr>
        <w:t>AYM’na</w:t>
      </w:r>
      <w:proofErr w:type="spellEnd"/>
      <w:r w:rsidRPr="0035630D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 uygun olarak ikiz dönüşümünü hızlandırması</w:t>
      </w:r>
      <w:r w:rsidR="00C6493A">
        <w:rPr>
          <w:rFonts w:asciiTheme="minorHAnsi" w:eastAsia="Times New Roman" w:hAnsiTheme="minorHAnsi" w:cstheme="minorHAnsi"/>
          <w:color w:val="202124"/>
          <w:sz w:val="24"/>
          <w:szCs w:val="24"/>
        </w:rPr>
        <w:t>,</w:t>
      </w:r>
      <w:r w:rsidRPr="0035630D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 sürdürülebilirliğini ve </w:t>
      </w:r>
      <w:proofErr w:type="spellStart"/>
      <w:r w:rsidRPr="0035630D">
        <w:rPr>
          <w:rFonts w:asciiTheme="minorHAnsi" w:eastAsia="Times New Roman" w:hAnsiTheme="minorHAnsi" w:cstheme="minorHAnsi"/>
          <w:color w:val="202124"/>
          <w:sz w:val="24"/>
          <w:szCs w:val="24"/>
        </w:rPr>
        <w:t>döngüselliğini</w:t>
      </w:r>
      <w:proofErr w:type="spellEnd"/>
      <w:r w:rsidRPr="0035630D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 geliştirmesi öngörülmekte</w:t>
      </w:r>
      <w:r w:rsidR="00066BB8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 olup, </w:t>
      </w:r>
      <w:r w:rsidR="00383B6C" w:rsidRPr="006E109C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Geçiş Yol Haritası, Avrupa’daki AB yasama gündeminin tüm parçalarını bir araya getirmekte ve </w:t>
      </w:r>
      <w:r w:rsidR="00433B75" w:rsidRPr="006E109C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döngüsellik, dijitalleşme, iklim nötrlüğü ve daha güvenli/sürdürülebilir kimyasallar </w:t>
      </w:r>
      <w:r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olmak üzere </w:t>
      </w:r>
      <w:r w:rsidRPr="006E109C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dört temel </w:t>
      </w:r>
      <w:r>
        <w:rPr>
          <w:rFonts w:asciiTheme="minorHAnsi" w:eastAsia="Times New Roman" w:hAnsiTheme="minorHAnsi" w:cstheme="minorHAnsi"/>
          <w:color w:val="202124"/>
          <w:sz w:val="24"/>
          <w:szCs w:val="24"/>
        </w:rPr>
        <w:t>hedefi</w:t>
      </w:r>
      <w:r w:rsidR="00E61488" w:rsidRPr="006E109C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 içermektedir</w:t>
      </w:r>
      <w:r w:rsidR="00433B75" w:rsidRPr="006E109C">
        <w:rPr>
          <w:rFonts w:asciiTheme="minorHAnsi" w:eastAsia="Times New Roman" w:hAnsiTheme="minorHAnsi" w:cstheme="minorHAnsi"/>
          <w:color w:val="202124"/>
          <w:sz w:val="24"/>
          <w:szCs w:val="24"/>
        </w:rPr>
        <w:t>.</w:t>
      </w:r>
    </w:p>
    <w:p w14:paraId="62EEC162" w14:textId="21204285" w:rsidR="007061AF" w:rsidRPr="006E109C" w:rsidRDefault="00B71759" w:rsidP="00A20649">
      <w:pPr>
        <w:pStyle w:val="AklamaMetni"/>
        <w:ind w:firstLine="0"/>
        <w:rPr>
          <w:rFonts w:asciiTheme="minorHAnsi" w:eastAsia="Times New Roman" w:hAnsiTheme="minorHAnsi" w:cstheme="minorHAnsi"/>
          <w:color w:val="20212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Bu çerçevede, </w:t>
      </w:r>
      <w:r w:rsidR="00C13DC5" w:rsidRPr="006E109C">
        <w:rPr>
          <w:rFonts w:asciiTheme="minorHAnsi" w:hAnsiTheme="minorHAnsi" w:cstheme="minorHAnsi"/>
          <w:sz w:val="24"/>
          <w:szCs w:val="24"/>
        </w:rPr>
        <w:t>“</w:t>
      </w:r>
      <w:r w:rsidR="00E50E11" w:rsidRPr="006E109C">
        <w:rPr>
          <w:rFonts w:asciiTheme="minorHAnsi" w:hAnsiTheme="minorHAnsi" w:cstheme="minorHAnsi"/>
          <w:sz w:val="24"/>
          <w:szCs w:val="24"/>
        </w:rPr>
        <w:t xml:space="preserve">Avrupa </w:t>
      </w:r>
      <w:r w:rsidR="00C13DC5" w:rsidRPr="006E109C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Kimya </w:t>
      </w:r>
      <w:r w:rsidR="00E50E11" w:rsidRPr="006E109C">
        <w:rPr>
          <w:rFonts w:asciiTheme="minorHAnsi" w:eastAsia="Times New Roman" w:hAnsiTheme="minorHAnsi" w:cstheme="minorHAnsi"/>
          <w:color w:val="202124"/>
          <w:sz w:val="24"/>
          <w:szCs w:val="24"/>
        </w:rPr>
        <w:t>E</w:t>
      </w:r>
      <w:r w:rsidR="00C13DC5" w:rsidRPr="006E109C">
        <w:rPr>
          <w:rFonts w:asciiTheme="minorHAnsi" w:eastAsia="Times New Roman" w:hAnsiTheme="minorHAnsi" w:cstheme="minorHAnsi"/>
          <w:color w:val="202124"/>
          <w:sz w:val="24"/>
          <w:szCs w:val="24"/>
        </w:rPr>
        <w:t>ndüstrisi Geçiş Yol Haritası” 8 ana başlık</w:t>
      </w:r>
      <w:r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ta </w:t>
      </w:r>
      <w:r w:rsidR="00F6027E" w:rsidRPr="006E109C">
        <w:rPr>
          <w:rFonts w:asciiTheme="minorHAnsi" w:eastAsia="Times New Roman" w:hAnsiTheme="minorHAnsi" w:cstheme="minorHAnsi"/>
          <w:color w:val="202124"/>
          <w:sz w:val="24"/>
          <w:szCs w:val="24"/>
        </w:rPr>
        <w:t>özetle</w:t>
      </w:r>
      <w:bookmarkStart w:id="2" w:name="_Hlk126572747"/>
      <w:r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 aşağıdaki hususları ele almaktadır:</w:t>
      </w:r>
    </w:p>
    <w:p w14:paraId="3B581767" w14:textId="26E76653" w:rsidR="00546F9D" w:rsidRPr="006E109C" w:rsidRDefault="00330189" w:rsidP="00A20649">
      <w:pPr>
        <w:pStyle w:val="AklamaMetni"/>
        <w:numPr>
          <w:ilvl w:val="0"/>
          <w:numId w:val="4"/>
        </w:numPr>
        <w:rPr>
          <w:rFonts w:asciiTheme="minorHAnsi" w:hAnsiTheme="minorHAnsi" w:cstheme="minorHAnsi"/>
          <w:b/>
          <w:color w:val="202124"/>
          <w:sz w:val="24"/>
          <w:szCs w:val="24"/>
        </w:rPr>
      </w:pPr>
      <w:r w:rsidRPr="006E109C">
        <w:rPr>
          <w:rStyle w:val="y2iqfc"/>
          <w:rFonts w:asciiTheme="minorHAnsi" w:hAnsiTheme="minorHAnsi" w:cstheme="minorHAnsi"/>
          <w:b/>
          <w:color w:val="202124"/>
          <w:sz w:val="24"/>
          <w:szCs w:val="24"/>
        </w:rPr>
        <w:t>Sürdürülebilir Rekabet Güc</w:t>
      </w:r>
      <w:r w:rsidR="00B71759">
        <w:rPr>
          <w:rStyle w:val="y2iqfc"/>
          <w:rFonts w:asciiTheme="minorHAnsi" w:hAnsiTheme="minorHAnsi" w:cstheme="minorHAnsi"/>
          <w:b/>
          <w:color w:val="202124"/>
          <w:sz w:val="24"/>
          <w:szCs w:val="24"/>
        </w:rPr>
        <w:t xml:space="preserve">ü- </w:t>
      </w:r>
      <w:r w:rsidR="00B71759" w:rsidRPr="00B71759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</w:t>
      </w:r>
      <w:r w:rsidR="007061AF" w:rsidRPr="00B71759">
        <w:rPr>
          <w:rFonts w:asciiTheme="minorHAnsi" w:eastAsia="Times New Roman" w:hAnsiTheme="minorHAnsi" w:cstheme="minorHAnsi"/>
          <w:color w:val="202124"/>
          <w:sz w:val="24"/>
          <w:szCs w:val="24"/>
        </w:rPr>
        <w:t>ı</w:t>
      </w:r>
      <w:r w:rsidR="007061AF" w:rsidRPr="006E109C">
        <w:rPr>
          <w:rFonts w:asciiTheme="minorHAnsi" w:eastAsia="Times New Roman" w:hAnsiTheme="minorHAnsi" w:cstheme="minorHAnsi"/>
          <w:color w:val="202124"/>
          <w:sz w:val="24"/>
          <w:szCs w:val="24"/>
        </w:rPr>
        <w:t>zla yükselen enerji ve hammadde fiyatları</w:t>
      </w:r>
      <w:r>
        <w:rPr>
          <w:rFonts w:asciiTheme="minorHAnsi" w:eastAsia="Times New Roman" w:hAnsiTheme="minorHAnsi" w:cstheme="minorHAnsi"/>
          <w:color w:val="202124"/>
          <w:sz w:val="24"/>
          <w:szCs w:val="24"/>
        </w:rPr>
        <w:t>,</w:t>
      </w:r>
      <w:r w:rsidR="007061AF" w:rsidRPr="006E109C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 son yıllarda endüstrinin küresel rekabet gücünde </w:t>
      </w:r>
      <w:r w:rsidR="006A4D0A" w:rsidRPr="006E109C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 </w:t>
      </w:r>
      <w:r w:rsidR="007061AF" w:rsidRPr="006E109C">
        <w:rPr>
          <w:rFonts w:asciiTheme="minorHAnsi" w:eastAsia="Times New Roman" w:hAnsiTheme="minorHAnsi" w:cstheme="minorHAnsi"/>
          <w:color w:val="202124"/>
          <w:sz w:val="24"/>
          <w:szCs w:val="24"/>
        </w:rPr>
        <w:t>düşüş ve belirli faaliyetlerin AB dışına kaydırılması</w:t>
      </w:r>
      <w:r>
        <w:rPr>
          <w:rFonts w:asciiTheme="minorHAnsi" w:eastAsia="Times New Roman" w:hAnsiTheme="minorHAnsi" w:cstheme="minorHAnsi"/>
          <w:color w:val="202124"/>
          <w:sz w:val="24"/>
          <w:szCs w:val="24"/>
        </w:rPr>
        <w:t>nın,</w:t>
      </w:r>
      <w:r w:rsidR="007061AF" w:rsidRPr="006E109C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 AB'nin tüm ekonomisinde dalgalanma etkileriyle kimyasal değer zincirlerini de etkileyeceği ve </w:t>
      </w:r>
      <w:r w:rsidR="007061AF" w:rsidRPr="006E109C">
        <w:rPr>
          <w:rFonts w:asciiTheme="minorHAnsi" w:hAnsiTheme="minorHAnsi" w:cstheme="minorHAnsi"/>
          <w:color w:val="202124"/>
          <w:sz w:val="24"/>
          <w:szCs w:val="24"/>
        </w:rPr>
        <w:t>AB'de üretilen mallar için gerekli olan üretim sürecinde aynı çevre ve güvenlik standartlarını karşılamayan bazı ithal ürünlerin AB iç pazarına girmeye devam et</w:t>
      </w:r>
      <w:r>
        <w:rPr>
          <w:rFonts w:asciiTheme="minorHAnsi" w:hAnsiTheme="minorHAnsi" w:cstheme="minorHAnsi"/>
          <w:color w:val="202124"/>
          <w:sz w:val="24"/>
          <w:szCs w:val="24"/>
        </w:rPr>
        <w:t xml:space="preserve">mesinin </w:t>
      </w:r>
      <w:r w:rsidR="007061AF" w:rsidRPr="006E109C">
        <w:rPr>
          <w:rFonts w:asciiTheme="minorHAnsi" w:hAnsiTheme="minorHAnsi" w:cstheme="minorHAnsi"/>
          <w:color w:val="202124"/>
          <w:sz w:val="24"/>
          <w:szCs w:val="24"/>
        </w:rPr>
        <w:t>eşit bir küresel oyun alanı sağlama</w:t>
      </w:r>
      <w:r>
        <w:rPr>
          <w:rFonts w:asciiTheme="minorHAnsi" w:hAnsiTheme="minorHAnsi" w:cstheme="minorHAnsi"/>
          <w:color w:val="202124"/>
          <w:sz w:val="24"/>
          <w:szCs w:val="24"/>
        </w:rPr>
        <w:t xml:space="preserve">yı gerektiğine atıfla, </w:t>
      </w:r>
      <w:r w:rsidR="007061AF" w:rsidRPr="006E109C">
        <w:rPr>
          <w:rFonts w:asciiTheme="minorHAnsi" w:hAnsiTheme="minorHAnsi" w:cstheme="minorHAnsi"/>
          <w:sz w:val="24"/>
          <w:szCs w:val="24"/>
        </w:rPr>
        <w:t>kimya endüstrisinin rekabetçiliğini güçlendirebilmek için, uluslararası rekabet edebilirliği geliştirme</w:t>
      </w:r>
      <w:r>
        <w:rPr>
          <w:rFonts w:asciiTheme="minorHAnsi" w:hAnsiTheme="minorHAnsi" w:cstheme="minorHAnsi"/>
          <w:sz w:val="24"/>
          <w:szCs w:val="24"/>
        </w:rPr>
        <w:t>k</w:t>
      </w:r>
      <w:r w:rsidR="007061AF" w:rsidRPr="006E109C">
        <w:rPr>
          <w:rFonts w:asciiTheme="minorHAnsi" w:hAnsiTheme="minorHAnsi" w:cstheme="minorHAnsi"/>
          <w:sz w:val="24"/>
          <w:szCs w:val="24"/>
        </w:rPr>
        <w:t xml:space="preserve"> gerek</w:t>
      </w:r>
      <w:r>
        <w:rPr>
          <w:rFonts w:asciiTheme="minorHAnsi" w:hAnsiTheme="minorHAnsi" w:cstheme="minorHAnsi"/>
          <w:sz w:val="24"/>
          <w:szCs w:val="24"/>
        </w:rPr>
        <w:t>tiği</w:t>
      </w:r>
      <w:r w:rsidR="007061AF" w:rsidRPr="006E109C">
        <w:rPr>
          <w:rFonts w:asciiTheme="minorHAnsi" w:hAnsiTheme="minorHAnsi" w:cstheme="minorHAnsi"/>
          <w:sz w:val="24"/>
          <w:szCs w:val="24"/>
        </w:rPr>
        <w:t xml:space="preserve"> ve bu bağlamda sürdürülebilir ürünler için pazarın teşvik edilmesi; </w:t>
      </w:r>
      <w:r w:rsidR="007061AF" w:rsidRPr="006E109C">
        <w:rPr>
          <w:rFonts w:asciiTheme="minorHAnsi" w:hAnsiTheme="minorHAnsi" w:cstheme="minorHAnsi"/>
          <w:color w:val="202124"/>
          <w:sz w:val="24"/>
          <w:szCs w:val="24"/>
          <w:highlight w:val="white"/>
        </w:rPr>
        <w:t>mevcut uluslararası ortaklıklardan en iyi şekilde yararlanılması</w:t>
      </w:r>
      <w:r w:rsidR="007061AF" w:rsidRPr="006E109C">
        <w:rPr>
          <w:rFonts w:asciiTheme="minorHAnsi" w:hAnsiTheme="minorHAnsi" w:cstheme="minorHAnsi"/>
          <w:sz w:val="24"/>
          <w:szCs w:val="24"/>
        </w:rPr>
        <w:t xml:space="preserve"> ve kaynak verimliliğinin arttırılması gibi hedeflerle tedarik zinciri güvenlik açıklarını azaltmak; </w:t>
      </w:r>
      <w:r w:rsidR="007061AF" w:rsidRPr="006E109C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ürün tasarımı ve yeniden tasarım gibi hedeflerle </w:t>
      </w:r>
      <w:r w:rsidR="007061AF" w:rsidRPr="006E109C">
        <w:rPr>
          <w:rFonts w:asciiTheme="minorHAnsi" w:hAnsiTheme="minorHAnsi" w:cstheme="minorHAnsi"/>
          <w:sz w:val="24"/>
          <w:szCs w:val="24"/>
        </w:rPr>
        <w:t xml:space="preserve">kimyasalların ve malzemelerin güvenliğini ve </w:t>
      </w:r>
      <w:r w:rsidR="007061AF" w:rsidRPr="006E109C">
        <w:rPr>
          <w:rFonts w:asciiTheme="minorHAnsi" w:hAnsiTheme="minorHAnsi" w:cstheme="minorHAnsi"/>
          <w:sz w:val="24"/>
          <w:szCs w:val="24"/>
        </w:rPr>
        <w:lastRenderedPageBreak/>
        <w:t>sürdürülebilirliğini</w:t>
      </w:r>
      <w:r w:rsidR="00433B75" w:rsidRPr="006E109C">
        <w:rPr>
          <w:rStyle w:val="y2iqfc"/>
          <w:rFonts w:asciiTheme="minorHAnsi" w:hAnsiTheme="minorHAnsi" w:cstheme="minorHAnsi"/>
          <w:b/>
          <w:color w:val="202124"/>
          <w:sz w:val="24"/>
          <w:szCs w:val="24"/>
        </w:rPr>
        <w:t xml:space="preserve"> </w:t>
      </w:r>
      <w:r w:rsidR="007061AF" w:rsidRPr="006E109C">
        <w:rPr>
          <w:rFonts w:asciiTheme="minorHAnsi" w:hAnsiTheme="minorHAnsi" w:cstheme="minorHAnsi"/>
          <w:sz w:val="24"/>
          <w:szCs w:val="24"/>
        </w:rPr>
        <w:t>geliştirmeye devam etmek; KOBİ'lerin yenilikçiliğini ve büyümesini sürdürmek</w:t>
      </w:r>
      <w:r w:rsidR="003F33CB">
        <w:rPr>
          <w:rFonts w:asciiTheme="minorHAnsi" w:hAnsiTheme="minorHAnsi" w:cstheme="minorHAnsi"/>
          <w:sz w:val="24"/>
          <w:szCs w:val="24"/>
        </w:rPr>
        <w:t xml:space="preserve"> </w:t>
      </w:r>
      <w:r w:rsidR="007061AF" w:rsidRPr="006E109C">
        <w:rPr>
          <w:rFonts w:asciiTheme="minorHAnsi" w:hAnsiTheme="minorHAnsi" w:cstheme="minorHAnsi"/>
          <w:sz w:val="24"/>
          <w:szCs w:val="24"/>
        </w:rPr>
        <w:t>ve yeni sinerjileri teşvik etmek gibi hedefler belirlenmiştir.</w:t>
      </w:r>
    </w:p>
    <w:bookmarkEnd w:id="2"/>
    <w:p w14:paraId="09E92642" w14:textId="432F2E11" w:rsidR="001311C1" w:rsidRPr="006E109C" w:rsidRDefault="00330189" w:rsidP="00A20649">
      <w:pPr>
        <w:pStyle w:val="AklamaMetni"/>
        <w:numPr>
          <w:ilvl w:val="0"/>
          <w:numId w:val="4"/>
        </w:numPr>
        <w:rPr>
          <w:rFonts w:asciiTheme="minorHAnsi" w:hAnsiTheme="minorHAnsi" w:cstheme="minorHAnsi"/>
          <w:color w:val="FF0000"/>
          <w:sz w:val="24"/>
          <w:szCs w:val="24"/>
        </w:rPr>
      </w:pPr>
      <w:r w:rsidRPr="006E109C">
        <w:rPr>
          <w:rFonts w:asciiTheme="minorHAnsi" w:hAnsiTheme="minorHAnsi" w:cstheme="minorHAnsi"/>
          <w:b/>
          <w:sz w:val="24"/>
          <w:szCs w:val="24"/>
        </w:rPr>
        <w:t>Yatırımlar ve Finansman</w:t>
      </w:r>
      <w:r w:rsidR="00B71759">
        <w:rPr>
          <w:rFonts w:asciiTheme="minorHAnsi" w:hAnsiTheme="minorHAnsi" w:cstheme="minorHAnsi"/>
          <w:b/>
          <w:sz w:val="24"/>
          <w:szCs w:val="24"/>
        </w:rPr>
        <w:t>-</w:t>
      </w:r>
      <w:r w:rsidRPr="006E109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71759" w:rsidRPr="00B71759">
        <w:rPr>
          <w:rFonts w:asciiTheme="minorHAnsi" w:hAnsiTheme="minorHAnsi" w:cstheme="minorHAnsi"/>
          <w:sz w:val="24"/>
          <w:szCs w:val="24"/>
        </w:rPr>
        <w:t>G</w:t>
      </w:r>
      <w:r w:rsidR="001311C1" w:rsidRPr="006E109C">
        <w:rPr>
          <w:rFonts w:asciiTheme="minorHAnsi" w:hAnsiTheme="minorHAnsi" w:cstheme="minorHAnsi"/>
          <w:sz w:val="24"/>
          <w:szCs w:val="24"/>
        </w:rPr>
        <w:t xml:space="preserve">üvenli ve sürdürülebilir alternatiflerin geliştirilmesi de dahil olmak üzere iklim nötr, daha güvenli, sıfır kirlilik ve döngüsel bir kimya endüstrisine geçişin, büyük Ar-Ge yatırımları gerektireceği; </w:t>
      </w:r>
      <w:r w:rsidR="001311C1" w:rsidRPr="006E109C">
        <w:rPr>
          <w:rFonts w:asciiTheme="minorHAnsi" w:eastAsia="Times New Roman" w:hAnsiTheme="minorHAnsi"/>
          <w:color w:val="202124"/>
          <w:sz w:val="24"/>
          <w:szCs w:val="24"/>
        </w:rPr>
        <w:t>üye devletlerin şu anda güncellemekte olduğu ulusal enerji ve iklim planlarının hem yatırımcı güvenini hem de yatırımların öngörülebilirliğini artırmada önemli bir role sahip olduğu belirtilmektedir.</w:t>
      </w:r>
      <w:r w:rsidR="001311C1" w:rsidRPr="006E109C">
        <w:rPr>
          <w:rFonts w:asciiTheme="minorHAnsi" w:hAnsiTheme="minorHAnsi" w:cstheme="minorHAnsi"/>
          <w:sz w:val="24"/>
          <w:szCs w:val="24"/>
        </w:rPr>
        <w:t xml:space="preserve"> Bu kapsamda, </w:t>
      </w:r>
      <w:r w:rsidRPr="00B44C6B">
        <w:rPr>
          <w:rStyle w:val="y2iqfc"/>
          <w:rFonts w:asciiTheme="minorHAnsi" w:hAnsiTheme="minorHAnsi" w:cstheme="minorHAnsi"/>
          <w:color w:val="auto"/>
          <w:sz w:val="24"/>
          <w:szCs w:val="24"/>
        </w:rPr>
        <w:t>yeşil yatırımlar için finansman ve finansmana erişim doğrultusunda hedefler belirlenmiştir.</w:t>
      </w:r>
    </w:p>
    <w:p w14:paraId="3CBDDAA6" w14:textId="5762EBE9" w:rsidR="001375A3" w:rsidRPr="006E109C" w:rsidRDefault="001375A3" w:rsidP="00A20649">
      <w:pPr>
        <w:pStyle w:val="AklamaMetni"/>
        <w:numPr>
          <w:ilvl w:val="0"/>
          <w:numId w:val="4"/>
        </w:numPr>
        <w:rPr>
          <w:rFonts w:asciiTheme="minorHAnsi" w:eastAsia="Times New Roman" w:hAnsiTheme="minorHAnsi"/>
          <w:color w:val="202124"/>
          <w:sz w:val="24"/>
          <w:szCs w:val="24"/>
        </w:rPr>
      </w:pPr>
      <w:r w:rsidRPr="006E109C">
        <w:rPr>
          <w:rFonts w:asciiTheme="minorHAnsi" w:hAnsiTheme="minorHAnsi"/>
          <w:b/>
          <w:sz w:val="24"/>
          <w:szCs w:val="24"/>
        </w:rPr>
        <w:t>AR-GE, Teknikler Ve Teknolojik Çözümlere Destek</w:t>
      </w:r>
      <w:r w:rsidR="00B71759">
        <w:rPr>
          <w:rFonts w:asciiTheme="minorHAnsi" w:hAnsiTheme="minorHAnsi"/>
          <w:b/>
          <w:sz w:val="24"/>
          <w:szCs w:val="24"/>
        </w:rPr>
        <w:t xml:space="preserve">- </w:t>
      </w:r>
      <w:r w:rsidR="00B71759" w:rsidRPr="00B71759">
        <w:rPr>
          <w:rFonts w:asciiTheme="minorHAnsi" w:hAnsiTheme="minorHAnsi"/>
          <w:sz w:val="24"/>
          <w:szCs w:val="24"/>
        </w:rPr>
        <w:t>G</w:t>
      </w:r>
      <w:r w:rsidRPr="006E109C">
        <w:rPr>
          <w:rFonts w:asciiTheme="minorHAnsi" w:hAnsiTheme="minorHAnsi"/>
          <w:sz w:val="24"/>
          <w:szCs w:val="24"/>
        </w:rPr>
        <w:t>üvenlik ve sürdürülebilirlik yaklaşımlarının teşvik edilmesi ve endüstriyel teknoloji yol haritalarının geliştirilmesinin yoluyla yeni tekniklerin ve teknik çözümlerin daha iyi kavramsallaştırılması</w:t>
      </w:r>
      <w:r w:rsidR="00B71759">
        <w:rPr>
          <w:rFonts w:asciiTheme="minorHAnsi" w:hAnsiTheme="minorHAnsi"/>
          <w:sz w:val="24"/>
          <w:szCs w:val="24"/>
        </w:rPr>
        <w:t>,</w:t>
      </w:r>
      <w:r w:rsidRPr="006E109C">
        <w:rPr>
          <w:rFonts w:asciiTheme="minorHAnsi" w:hAnsiTheme="minorHAnsi"/>
          <w:sz w:val="24"/>
          <w:szCs w:val="24"/>
        </w:rPr>
        <w:t xml:space="preserve"> </w:t>
      </w:r>
      <w:r w:rsidRPr="006E109C">
        <w:rPr>
          <w:rFonts w:asciiTheme="minorHAnsi" w:eastAsia="Times New Roman" w:hAnsiTheme="minorHAnsi"/>
          <w:color w:val="202124"/>
          <w:sz w:val="24"/>
          <w:szCs w:val="24"/>
        </w:rPr>
        <w:t>iş birliği ve ortaklıkların teşvik edilmesi, deste</w:t>
      </w:r>
      <w:r w:rsidR="00B71759">
        <w:rPr>
          <w:rFonts w:asciiTheme="minorHAnsi" w:eastAsia="Times New Roman" w:hAnsiTheme="minorHAnsi"/>
          <w:color w:val="202124"/>
          <w:sz w:val="24"/>
          <w:szCs w:val="24"/>
        </w:rPr>
        <w:t>kler</w:t>
      </w:r>
      <w:r w:rsidRPr="006E109C">
        <w:rPr>
          <w:rFonts w:asciiTheme="minorHAnsi" w:eastAsia="Times New Roman" w:hAnsiTheme="minorHAnsi"/>
          <w:color w:val="202124"/>
          <w:sz w:val="24"/>
          <w:szCs w:val="24"/>
        </w:rPr>
        <w:t xml:space="preserve"> yoluyla yeni teknik ve teknolojik çözümlerin geliştirilmesi ve bu yeni teknik ve teknolojik çözümlerin uygulanması g</w:t>
      </w:r>
      <w:r w:rsidRPr="006E109C">
        <w:rPr>
          <w:rFonts w:asciiTheme="minorHAnsi" w:hAnsiTheme="minorHAnsi"/>
          <w:sz w:val="24"/>
          <w:szCs w:val="24"/>
        </w:rPr>
        <w:t>ibi hedefler yer almaktadır.</w:t>
      </w:r>
    </w:p>
    <w:p w14:paraId="03F9D309" w14:textId="0F6452A0" w:rsidR="00433B75" w:rsidRPr="00B71759" w:rsidRDefault="00330189" w:rsidP="00A20649">
      <w:pPr>
        <w:pStyle w:val="AklamaMetni"/>
        <w:numPr>
          <w:ilvl w:val="0"/>
          <w:numId w:val="4"/>
        </w:numPr>
        <w:rPr>
          <w:rFonts w:asciiTheme="minorHAnsi" w:hAnsiTheme="minorHAnsi"/>
          <w:color w:val="FF0000"/>
          <w:sz w:val="24"/>
          <w:szCs w:val="24"/>
        </w:rPr>
      </w:pPr>
      <w:r w:rsidRPr="006E109C">
        <w:rPr>
          <w:rFonts w:asciiTheme="minorHAnsi" w:hAnsiTheme="minorHAnsi"/>
          <w:b/>
          <w:sz w:val="24"/>
          <w:szCs w:val="24"/>
        </w:rPr>
        <w:t>Düzenleme ve Kamu Yönetimi (Mevzuat)</w:t>
      </w:r>
      <w:r w:rsidR="00B71759">
        <w:rPr>
          <w:rFonts w:asciiTheme="minorHAnsi" w:hAnsiTheme="minorHAnsi"/>
          <w:b/>
          <w:sz w:val="24"/>
          <w:szCs w:val="24"/>
        </w:rPr>
        <w:t xml:space="preserve">- </w:t>
      </w:r>
      <w:r w:rsidR="00B71759" w:rsidRPr="00B71759">
        <w:rPr>
          <w:rFonts w:asciiTheme="minorHAnsi" w:hAnsiTheme="minorHAnsi"/>
          <w:sz w:val="24"/>
          <w:szCs w:val="24"/>
        </w:rPr>
        <w:t>D</w:t>
      </w:r>
      <w:r w:rsidRPr="006E109C">
        <w:rPr>
          <w:rFonts w:asciiTheme="minorHAnsi" w:hAnsiTheme="minorHAnsi"/>
          <w:sz w:val="24"/>
          <w:szCs w:val="24"/>
        </w:rPr>
        <w:t xml:space="preserve">aha etkili ve öngörülebilir dikey ve yatay olarak uyumlu mevzuat ve bunların etkili ve verimli uygulamasıyla ilgili </w:t>
      </w:r>
      <w:r>
        <w:rPr>
          <w:rFonts w:asciiTheme="minorHAnsi" w:hAnsiTheme="minorHAnsi"/>
          <w:sz w:val="24"/>
          <w:szCs w:val="24"/>
        </w:rPr>
        <w:t xml:space="preserve">olarak, </w:t>
      </w:r>
      <w:r w:rsidR="00433B75" w:rsidRPr="006E109C">
        <w:rPr>
          <w:rFonts w:asciiTheme="minorHAnsi" w:hAnsiTheme="minorHAnsi"/>
          <w:sz w:val="24"/>
          <w:szCs w:val="24"/>
        </w:rPr>
        <w:t xml:space="preserve">mevcut ve gelecekteki mevzuatın, ikiz dönüşümün ilerlemesini engelleyen yeni yasama tekliflerinin </w:t>
      </w:r>
      <w:r w:rsidR="00B71759">
        <w:rPr>
          <w:rFonts w:asciiTheme="minorHAnsi" w:hAnsiTheme="minorHAnsi"/>
          <w:sz w:val="24"/>
          <w:szCs w:val="24"/>
        </w:rPr>
        <w:t>takvimlerinin</w:t>
      </w:r>
      <w:r w:rsidR="00433B75" w:rsidRPr="006E109C">
        <w:rPr>
          <w:rFonts w:asciiTheme="minorHAnsi" w:hAnsiTheme="minorHAnsi"/>
          <w:sz w:val="24"/>
          <w:szCs w:val="24"/>
        </w:rPr>
        <w:t xml:space="preserve"> öngörülebilir olmaması; AB mevzuatı ile ulusal mevzuat arasındaki uyum ve tutarlılık eksikliği (dikey tutarlılık) ve tüm ekonomik/endüstriyel sektörlerde veya tüm değer zincirlerinde yasal uyumlaştırma eksikliği (yatay tutarlılık) gibi bazı önemli engelleri içerebileceği</w:t>
      </w:r>
      <w:r>
        <w:rPr>
          <w:rFonts w:asciiTheme="minorHAnsi" w:hAnsiTheme="minorHAnsi"/>
          <w:sz w:val="24"/>
          <w:szCs w:val="24"/>
        </w:rPr>
        <w:t xml:space="preserve"> </w:t>
      </w:r>
      <w:r w:rsidR="00433B75" w:rsidRPr="006E109C">
        <w:rPr>
          <w:rFonts w:asciiTheme="minorHAnsi" w:hAnsiTheme="minorHAnsi"/>
          <w:sz w:val="24"/>
          <w:szCs w:val="24"/>
        </w:rPr>
        <w:t>belirtilmekte</w:t>
      </w:r>
      <w:r>
        <w:rPr>
          <w:rFonts w:asciiTheme="minorHAnsi" w:hAnsiTheme="minorHAnsi"/>
          <w:sz w:val="24"/>
          <w:szCs w:val="24"/>
        </w:rPr>
        <w:t xml:space="preserve"> ve bunu </w:t>
      </w:r>
      <w:r w:rsidR="00B71759">
        <w:rPr>
          <w:rFonts w:asciiTheme="minorHAnsi" w:hAnsiTheme="minorHAnsi"/>
          <w:sz w:val="24"/>
          <w:szCs w:val="24"/>
        </w:rPr>
        <w:t>önlemeye</w:t>
      </w:r>
      <w:r>
        <w:rPr>
          <w:rFonts w:asciiTheme="minorHAnsi" w:hAnsiTheme="minorHAnsi"/>
          <w:sz w:val="24"/>
          <w:szCs w:val="24"/>
        </w:rPr>
        <w:t xml:space="preserve"> yönelik eylemler</w:t>
      </w:r>
      <w:r w:rsidR="00B71759">
        <w:rPr>
          <w:rFonts w:asciiTheme="minorHAnsi" w:hAnsiTheme="minorHAnsi"/>
          <w:sz w:val="24"/>
          <w:szCs w:val="24"/>
        </w:rPr>
        <w:t>i içermektedir.</w:t>
      </w:r>
      <w:r w:rsidR="00433B75" w:rsidRPr="00B71759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A77617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F85EF2" w:rsidRPr="00A77617">
        <w:rPr>
          <w:rFonts w:asciiTheme="minorHAnsi" w:hAnsiTheme="minorHAnsi" w:cstheme="minorHAnsi"/>
          <w:color w:val="auto"/>
          <w:sz w:val="24"/>
          <w:szCs w:val="24"/>
        </w:rPr>
        <w:t xml:space="preserve">Daha etkili ve öngörülebilir mevzuat kapsamında, her kimyasal için hangi AB mevzuatının geçerli olduğunu belirten; şirketlerin ve özellikle KOBİ’lerin kimyasalların AB’de nasıl düzenlendiğini ve yasal yükümlülüklerinin neler olduğunu öğrenmelerini sağlayan AB Kimyasallar Mevzuatı Bulucu (EUCLEF) arama motorunun düzenli olarak güncellenmesi; </w:t>
      </w:r>
      <w:proofErr w:type="spellStart"/>
      <w:r w:rsidR="00F85EF2" w:rsidRPr="00A77617">
        <w:rPr>
          <w:rFonts w:asciiTheme="minorHAnsi" w:hAnsiTheme="minorHAnsi" w:cstheme="minorHAnsi"/>
          <w:color w:val="auto"/>
          <w:sz w:val="24"/>
          <w:szCs w:val="24"/>
        </w:rPr>
        <w:t>sektörel</w:t>
      </w:r>
      <w:proofErr w:type="spellEnd"/>
      <w:r w:rsidR="00F85EF2" w:rsidRPr="00A77617">
        <w:rPr>
          <w:rFonts w:asciiTheme="minorHAnsi" w:hAnsiTheme="minorHAnsi" w:cstheme="minorHAnsi"/>
          <w:color w:val="auto"/>
          <w:sz w:val="24"/>
          <w:szCs w:val="24"/>
        </w:rPr>
        <w:t xml:space="preserve"> yol haritalarının oluşturulması; “geri dönüştürülmüş içerik” (</w:t>
      </w:r>
      <w:proofErr w:type="spellStart"/>
      <w:r w:rsidR="00F85EF2" w:rsidRPr="00A77617">
        <w:rPr>
          <w:rFonts w:asciiTheme="minorHAnsi" w:hAnsiTheme="minorHAnsi" w:cstheme="minorHAnsi"/>
          <w:color w:val="auto"/>
          <w:sz w:val="24"/>
          <w:szCs w:val="24"/>
        </w:rPr>
        <w:t>recycled</w:t>
      </w:r>
      <w:proofErr w:type="spellEnd"/>
      <w:r w:rsidR="00F85EF2" w:rsidRPr="00A7761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F85EF2" w:rsidRPr="00A77617">
        <w:rPr>
          <w:rFonts w:asciiTheme="minorHAnsi" w:hAnsiTheme="minorHAnsi" w:cstheme="minorHAnsi"/>
          <w:color w:val="auto"/>
          <w:sz w:val="24"/>
          <w:szCs w:val="24"/>
        </w:rPr>
        <w:t>content</w:t>
      </w:r>
      <w:proofErr w:type="spellEnd"/>
      <w:r w:rsidR="00F85EF2" w:rsidRPr="00A77617">
        <w:rPr>
          <w:rFonts w:asciiTheme="minorHAnsi" w:hAnsiTheme="minorHAnsi" w:cstheme="minorHAnsi"/>
          <w:color w:val="auto"/>
          <w:sz w:val="24"/>
          <w:szCs w:val="24"/>
        </w:rPr>
        <w:t>) ve “atık durumunun sona ermesi” (</w:t>
      </w:r>
      <w:proofErr w:type="spellStart"/>
      <w:r w:rsidR="00F85EF2" w:rsidRPr="00A77617">
        <w:rPr>
          <w:rFonts w:asciiTheme="minorHAnsi" w:hAnsiTheme="minorHAnsi" w:cstheme="minorHAnsi"/>
          <w:color w:val="auto"/>
          <w:sz w:val="24"/>
          <w:szCs w:val="24"/>
        </w:rPr>
        <w:t>end</w:t>
      </w:r>
      <w:proofErr w:type="spellEnd"/>
      <w:r w:rsidR="00F85EF2" w:rsidRPr="00A77617">
        <w:rPr>
          <w:rFonts w:asciiTheme="minorHAnsi" w:hAnsiTheme="minorHAnsi" w:cstheme="minorHAnsi"/>
          <w:color w:val="auto"/>
          <w:sz w:val="24"/>
          <w:szCs w:val="24"/>
        </w:rPr>
        <w:t>-of-</w:t>
      </w:r>
      <w:proofErr w:type="spellStart"/>
      <w:r w:rsidR="00F85EF2" w:rsidRPr="00A77617">
        <w:rPr>
          <w:rFonts w:asciiTheme="minorHAnsi" w:hAnsiTheme="minorHAnsi" w:cstheme="minorHAnsi"/>
          <w:color w:val="auto"/>
          <w:sz w:val="24"/>
          <w:szCs w:val="24"/>
        </w:rPr>
        <w:t>waste</w:t>
      </w:r>
      <w:proofErr w:type="spellEnd"/>
      <w:r w:rsidR="00F85EF2" w:rsidRPr="00A77617">
        <w:rPr>
          <w:rFonts w:asciiTheme="minorHAnsi" w:hAnsiTheme="minorHAnsi" w:cstheme="minorHAnsi"/>
          <w:color w:val="auto"/>
          <w:sz w:val="24"/>
          <w:szCs w:val="24"/>
        </w:rPr>
        <w:t>) gibi son AB mevzuatları ve politika belgeleri tarafından getirilen yeni kavramların tanımlanması gibi eylemler yer almaktadır.</w:t>
      </w:r>
    </w:p>
    <w:p w14:paraId="052CC921" w14:textId="2A697549" w:rsidR="005347AA" w:rsidRPr="006E109C" w:rsidRDefault="00433B75" w:rsidP="00A20649">
      <w:pPr>
        <w:pStyle w:val="AklamaMetni"/>
        <w:numPr>
          <w:ilvl w:val="0"/>
          <w:numId w:val="4"/>
        </w:numPr>
        <w:rPr>
          <w:rFonts w:asciiTheme="minorHAnsi" w:hAnsiTheme="minorHAnsi" w:cstheme="minorHAnsi"/>
          <w:color w:val="FF0000"/>
          <w:sz w:val="24"/>
          <w:szCs w:val="24"/>
        </w:rPr>
      </w:pPr>
      <w:r w:rsidRPr="006E109C">
        <w:rPr>
          <w:rFonts w:asciiTheme="minorHAnsi" w:hAnsiTheme="minorHAnsi"/>
          <w:b/>
          <w:color w:val="auto"/>
          <w:sz w:val="24"/>
          <w:szCs w:val="24"/>
        </w:rPr>
        <w:t>Enerji ve Hammaddeye Erişim</w:t>
      </w:r>
      <w:r w:rsidR="00B71759">
        <w:rPr>
          <w:rFonts w:asciiTheme="minorHAnsi" w:hAnsiTheme="minorHAnsi"/>
          <w:b/>
          <w:color w:val="auto"/>
          <w:sz w:val="24"/>
          <w:szCs w:val="24"/>
        </w:rPr>
        <w:t xml:space="preserve">- </w:t>
      </w:r>
      <w:r w:rsidR="00B71759" w:rsidRPr="00B71759">
        <w:rPr>
          <w:rFonts w:asciiTheme="minorHAnsi" w:hAnsiTheme="minorHAnsi"/>
          <w:color w:val="auto"/>
          <w:sz w:val="24"/>
          <w:szCs w:val="24"/>
        </w:rPr>
        <w:t>E</w:t>
      </w:r>
      <w:r w:rsidR="00225582" w:rsidRPr="006E109C">
        <w:rPr>
          <w:rFonts w:asciiTheme="minorHAnsi" w:hAnsiTheme="minorHAnsi"/>
          <w:sz w:val="24"/>
          <w:szCs w:val="24"/>
        </w:rPr>
        <w:t xml:space="preserve">nerji ve ham madde kaynaklarının </w:t>
      </w:r>
      <w:r w:rsidR="00014161" w:rsidRPr="006E109C">
        <w:rPr>
          <w:rFonts w:asciiTheme="minorHAnsi" w:hAnsiTheme="minorHAnsi"/>
          <w:sz w:val="24"/>
          <w:szCs w:val="24"/>
        </w:rPr>
        <w:t>tedariki</w:t>
      </w:r>
      <w:r w:rsidR="00225582" w:rsidRPr="006E109C">
        <w:rPr>
          <w:rFonts w:asciiTheme="minorHAnsi" w:hAnsiTheme="minorHAnsi"/>
          <w:sz w:val="24"/>
          <w:szCs w:val="24"/>
        </w:rPr>
        <w:t xml:space="preserve"> için uzun vadeli ihtiyaçları öngör</w:t>
      </w:r>
      <w:r w:rsidR="00014161" w:rsidRPr="006E109C">
        <w:rPr>
          <w:rFonts w:asciiTheme="minorHAnsi" w:hAnsiTheme="minorHAnsi"/>
          <w:sz w:val="24"/>
          <w:szCs w:val="24"/>
        </w:rPr>
        <w:t xml:space="preserve">ebilmek amacıyla, </w:t>
      </w:r>
      <w:r w:rsidR="00225582" w:rsidRPr="006E109C">
        <w:rPr>
          <w:rFonts w:asciiTheme="minorHAnsi" w:hAnsiTheme="minorHAnsi"/>
          <w:sz w:val="24"/>
          <w:szCs w:val="24"/>
        </w:rPr>
        <w:t>enerji fiyatlarındaki artışların etkilerinin değerlendirilmesi, gelecekte alternatif enerji ve hammadde</w:t>
      </w:r>
      <w:r w:rsidR="00014161" w:rsidRPr="006E109C">
        <w:rPr>
          <w:rFonts w:asciiTheme="minorHAnsi" w:hAnsiTheme="minorHAnsi"/>
          <w:sz w:val="24"/>
          <w:szCs w:val="24"/>
        </w:rPr>
        <w:t xml:space="preserve"> ihtiyacının tahmin edilmesi, jeopolitik faktörleri dikkate alan temiz enerji ve stratejik hammadde tedariki için bir strateji geliştirilmesi gibi eylemler yer almaktadır.</w:t>
      </w:r>
      <w:r w:rsidR="006D297E" w:rsidRPr="006E109C">
        <w:rPr>
          <w:rFonts w:asciiTheme="minorHAnsi" w:hAnsiTheme="minorHAnsi"/>
          <w:sz w:val="24"/>
          <w:szCs w:val="24"/>
        </w:rPr>
        <w:t xml:space="preserve"> </w:t>
      </w:r>
      <w:r w:rsidR="005347AA" w:rsidRPr="006E109C">
        <w:rPr>
          <w:rFonts w:asciiTheme="minorHAnsi" w:hAnsiTheme="minorHAnsi"/>
          <w:sz w:val="24"/>
          <w:szCs w:val="24"/>
        </w:rPr>
        <w:t xml:space="preserve">Ayrıca, ekonomik olarak uygun temiz enerji alımının desteklenmesi; </w:t>
      </w:r>
      <w:r w:rsidR="005347AA" w:rsidRPr="006E109C">
        <w:rPr>
          <w:rStyle w:val="cf01"/>
          <w:rFonts w:asciiTheme="minorHAnsi" w:hAnsiTheme="minorHAnsi" w:cstheme="minorHAnsi"/>
          <w:sz w:val="24"/>
          <w:szCs w:val="24"/>
        </w:rPr>
        <w:t>biyokütle, atık ve CO</w:t>
      </w:r>
      <w:r w:rsidR="005347AA" w:rsidRPr="006E109C">
        <w:rPr>
          <w:rStyle w:val="cf01"/>
          <w:rFonts w:asciiTheme="minorHAnsi" w:hAnsiTheme="minorHAnsi" w:cstheme="minorHAnsi"/>
          <w:sz w:val="24"/>
          <w:szCs w:val="24"/>
          <w:vertAlign w:val="subscript"/>
        </w:rPr>
        <w:t>2</w:t>
      </w:r>
      <w:r w:rsidR="005347AA" w:rsidRPr="006E109C">
        <w:rPr>
          <w:rStyle w:val="cf01"/>
          <w:rFonts w:asciiTheme="minorHAnsi" w:hAnsiTheme="minorHAnsi" w:cstheme="minorHAnsi"/>
          <w:sz w:val="24"/>
          <w:szCs w:val="24"/>
        </w:rPr>
        <w:t xml:space="preserve"> gibi alternatif hammaddelerin geliştirilmesi, yeni ve sürdürülebilir hammadde kaynaklarını</w:t>
      </w:r>
      <w:r w:rsidR="003F33CB">
        <w:rPr>
          <w:rStyle w:val="cf01"/>
          <w:rFonts w:asciiTheme="minorHAnsi" w:hAnsiTheme="minorHAnsi" w:cstheme="minorHAnsi"/>
          <w:sz w:val="24"/>
          <w:szCs w:val="24"/>
        </w:rPr>
        <w:t>n</w:t>
      </w:r>
      <w:r w:rsidR="005347AA" w:rsidRPr="006E109C">
        <w:rPr>
          <w:rStyle w:val="cf01"/>
          <w:rFonts w:asciiTheme="minorHAnsi" w:hAnsiTheme="minorHAnsi" w:cstheme="minorHAnsi"/>
          <w:sz w:val="24"/>
          <w:szCs w:val="24"/>
        </w:rPr>
        <w:t xml:space="preserve"> belirlenmesi ve geliştirmesi; üretim süreçlerinin iyileştirilmesi için endüstriyel </w:t>
      </w:r>
      <w:proofErr w:type="spellStart"/>
      <w:r w:rsidR="005347AA" w:rsidRPr="006E109C">
        <w:rPr>
          <w:rStyle w:val="cf01"/>
          <w:rFonts w:asciiTheme="minorHAnsi" w:hAnsiTheme="minorHAnsi" w:cstheme="minorHAnsi"/>
          <w:sz w:val="24"/>
          <w:szCs w:val="24"/>
        </w:rPr>
        <w:t>simbiyozun</w:t>
      </w:r>
      <w:proofErr w:type="spellEnd"/>
      <w:r w:rsidR="005347AA" w:rsidRPr="006E109C">
        <w:rPr>
          <w:rStyle w:val="cf01"/>
          <w:rFonts w:asciiTheme="minorHAnsi" w:hAnsiTheme="minorHAnsi" w:cstheme="minorHAnsi"/>
          <w:sz w:val="24"/>
          <w:szCs w:val="24"/>
        </w:rPr>
        <w:t xml:space="preserve"> teşvik edilmesi gibi</w:t>
      </w:r>
      <w:r w:rsidR="005347AA" w:rsidRPr="006E109C">
        <w:rPr>
          <w:rFonts w:asciiTheme="minorHAnsi" w:hAnsiTheme="minorHAnsi"/>
          <w:sz w:val="24"/>
          <w:szCs w:val="24"/>
        </w:rPr>
        <w:t xml:space="preserve"> önlemler de bu başlık altında yer almaktadır.</w:t>
      </w:r>
    </w:p>
    <w:p w14:paraId="172BB08D" w14:textId="41B3FCE5" w:rsidR="006E109C" w:rsidRPr="005B66E6" w:rsidRDefault="00330189" w:rsidP="00944A3E">
      <w:pPr>
        <w:pStyle w:val="AklamaMetni"/>
        <w:numPr>
          <w:ilvl w:val="0"/>
          <w:numId w:val="4"/>
        </w:numPr>
        <w:rPr>
          <w:rFonts w:asciiTheme="minorHAnsi" w:hAnsiTheme="minorHAnsi" w:cstheme="minorHAnsi"/>
          <w:color w:val="auto"/>
          <w:sz w:val="48"/>
          <w:szCs w:val="48"/>
        </w:rPr>
      </w:pPr>
      <w:r w:rsidRPr="006E109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Altyapı </w:t>
      </w:r>
      <w:r w:rsidR="00B71759">
        <w:rPr>
          <w:rFonts w:asciiTheme="minorHAnsi" w:hAnsiTheme="minorHAnsi" w:cstheme="minorHAnsi"/>
          <w:b/>
          <w:bCs/>
          <w:color w:val="auto"/>
          <w:sz w:val="24"/>
          <w:szCs w:val="24"/>
        </w:rPr>
        <w:t>-</w:t>
      </w:r>
      <w:r w:rsidR="00B71759" w:rsidRPr="00B71759">
        <w:rPr>
          <w:rFonts w:asciiTheme="minorHAnsi" w:hAnsiTheme="minorHAnsi" w:cstheme="minorHAnsi"/>
          <w:bCs/>
          <w:color w:val="auto"/>
          <w:sz w:val="24"/>
          <w:szCs w:val="24"/>
        </w:rPr>
        <w:t>K</w:t>
      </w:r>
      <w:r w:rsidR="006E109C" w:rsidRPr="006E109C">
        <w:rPr>
          <w:rStyle w:val="cf01"/>
          <w:rFonts w:asciiTheme="minorHAnsi" w:hAnsiTheme="minorHAnsi" w:cstheme="minorHAnsi"/>
          <w:sz w:val="24"/>
          <w:szCs w:val="24"/>
        </w:rPr>
        <w:t>imya endüstrisinin enerji ve ham maddeye ve özellikle elektrik, hidrojen, atık, CO</w:t>
      </w:r>
      <w:r w:rsidR="006E109C" w:rsidRPr="006E109C">
        <w:rPr>
          <w:rStyle w:val="cf01"/>
          <w:rFonts w:asciiTheme="minorHAnsi" w:hAnsiTheme="minorHAnsi" w:cstheme="minorHAnsi"/>
          <w:sz w:val="24"/>
          <w:szCs w:val="24"/>
          <w:vertAlign w:val="subscript"/>
        </w:rPr>
        <w:t>2</w:t>
      </w:r>
      <w:r w:rsidR="006E109C" w:rsidRPr="006E109C">
        <w:rPr>
          <w:rStyle w:val="cf01"/>
          <w:rFonts w:asciiTheme="minorHAnsi" w:hAnsiTheme="minorHAnsi" w:cstheme="minorHAnsi"/>
          <w:sz w:val="24"/>
          <w:szCs w:val="24"/>
        </w:rPr>
        <w:t xml:space="preserve"> ve biyokütleye erişimini güvence altına almak için gerekli altyapının inşa edilmesi veya ölçeğinin büyütülmesi gerekliliği belirtilmektedir.</w:t>
      </w:r>
      <w:r>
        <w:rPr>
          <w:rStyle w:val="cf01"/>
          <w:rFonts w:asciiTheme="minorHAnsi" w:hAnsiTheme="minorHAnsi" w:cstheme="minorHAnsi"/>
          <w:sz w:val="24"/>
          <w:szCs w:val="24"/>
        </w:rPr>
        <w:t xml:space="preserve"> B</w:t>
      </w:r>
      <w:r w:rsidR="006E109C" w:rsidRPr="006E109C">
        <w:rPr>
          <w:rFonts w:asciiTheme="minorHAnsi" w:hAnsiTheme="minorHAnsi" w:cstheme="minorHAnsi"/>
          <w:color w:val="auto"/>
          <w:sz w:val="24"/>
          <w:szCs w:val="24"/>
        </w:rPr>
        <w:t xml:space="preserve">üyük ölçekli elektrik ve hidrojen altyapısının gelişimini iyileştirmek için ülkeler arası serbest enerji akışının sağlanması ve AB düzeyinde ayrı hidrojen altyapısının geliştirilmesi; geri dönüşüm tesisleri ve </w:t>
      </w:r>
      <w:proofErr w:type="spellStart"/>
      <w:r w:rsidR="006E109C" w:rsidRPr="006E109C">
        <w:rPr>
          <w:rFonts w:asciiTheme="minorHAnsi" w:hAnsiTheme="minorHAnsi" w:cstheme="minorHAnsi"/>
          <w:color w:val="auto"/>
          <w:sz w:val="24"/>
          <w:szCs w:val="24"/>
        </w:rPr>
        <w:t>biyo</w:t>
      </w:r>
      <w:proofErr w:type="spellEnd"/>
      <w:r w:rsidR="006E109C" w:rsidRPr="006E109C">
        <w:rPr>
          <w:rFonts w:asciiTheme="minorHAnsi" w:hAnsiTheme="minorHAnsi" w:cstheme="minorHAnsi"/>
          <w:color w:val="auto"/>
          <w:sz w:val="24"/>
          <w:szCs w:val="24"/>
        </w:rPr>
        <w:t xml:space="preserve">-rafinerilerin </w:t>
      </w:r>
      <w:r>
        <w:rPr>
          <w:rFonts w:asciiTheme="minorHAnsi" w:hAnsiTheme="minorHAnsi" w:cstheme="minorHAnsi"/>
          <w:color w:val="auto"/>
          <w:sz w:val="24"/>
          <w:szCs w:val="24"/>
        </w:rPr>
        <w:t>iyileştirilmesi</w:t>
      </w:r>
      <w:r w:rsidR="006E109C" w:rsidRPr="006E109C">
        <w:rPr>
          <w:rFonts w:asciiTheme="minorHAnsi" w:hAnsiTheme="minorHAnsi" w:cstheme="minorHAnsi"/>
          <w:color w:val="auto"/>
          <w:sz w:val="24"/>
          <w:szCs w:val="24"/>
        </w:rPr>
        <w:t xml:space="preserve"> yoluyla yeni ve sürdürülebilir üretim </w:t>
      </w:r>
      <w:r w:rsidR="006E109C" w:rsidRPr="006E109C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tesislerinin geliştirilmesi ve hammaddelerin ve kimyasalların sürdürülebilir ulaşım fırsatlarının arttırılması gibi hedefler yer almaktadır. Bunun yanı sıra, endüstrinin yüksek hızlı ve güvenilir dijital altyapıya ihtiyaç duyduğu ve bu bağlamda </w:t>
      </w:r>
      <w:r w:rsidR="006E109C" w:rsidRPr="006E109C">
        <w:rPr>
          <w:rFonts w:asciiTheme="minorHAnsi" w:eastAsia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kimyasal üretimde yeni ve mevcut teknolojilerin geliştirilmesini ve uygulanmasının desteklenmesine yönelik eylemler </w:t>
      </w:r>
      <w:r w:rsidR="006E109C" w:rsidRPr="006E109C">
        <w:rPr>
          <w:rFonts w:asciiTheme="minorHAnsi" w:eastAsiaTheme="minorHAnsi" w:hAnsiTheme="minorHAnsi" w:cstheme="minorHAnsi"/>
          <w:color w:val="auto"/>
          <w:sz w:val="24"/>
          <w:szCs w:val="24"/>
          <w:shd w:val="clear" w:color="auto" w:fill="FFFFFF"/>
          <w:lang w:eastAsia="en-US"/>
        </w:rPr>
        <w:t>belirlenmiştir</w:t>
      </w:r>
      <w:r w:rsidR="006E109C" w:rsidRPr="006E109C">
        <w:rPr>
          <w:rFonts w:asciiTheme="minorHAnsi" w:hAnsiTheme="minorHAnsi" w:cstheme="minorHAnsi"/>
          <w:color w:val="auto"/>
          <w:sz w:val="24"/>
          <w:szCs w:val="24"/>
        </w:rPr>
        <w:t>. Ayrıca</w:t>
      </w:r>
      <w:r w:rsidR="006E109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B66E6">
        <w:rPr>
          <w:rFonts w:asciiTheme="minorHAnsi" w:hAnsiTheme="minorHAnsi" w:cstheme="minorHAnsi"/>
          <w:color w:val="auto"/>
          <w:sz w:val="24"/>
          <w:szCs w:val="24"/>
        </w:rPr>
        <w:t>m</w:t>
      </w:r>
      <w:r w:rsidR="005B66E6" w:rsidRPr="005B66E6">
        <w:rPr>
          <w:rStyle w:val="cf01"/>
          <w:rFonts w:asciiTheme="minorHAnsi" w:hAnsiTheme="minorHAnsi" w:cstheme="minorHAnsi"/>
          <w:sz w:val="24"/>
          <w:szCs w:val="24"/>
        </w:rPr>
        <w:t>alzemelerin geri dönüşümü ve yeniden kullanımı için altyapı geliştirmek için organik ve inorganik atık toplama, ayırma ve değer zincirlerine yatırım yapmak gereke</w:t>
      </w:r>
      <w:r w:rsidR="005B66E6">
        <w:rPr>
          <w:rStyle w:val="cf01"/>
          <w:rFonts w:asciiTheme="minorHAnsi" w:hAnsiTheme="minorHAnsi" w:cstheme="minorHAnsi"/>
          <w:sz w:val="24"/>
          <w:szCs w:val="24"/>
        </w:rPr>
        <w:t>ceği; a</w:t>
      </w:r>
      <w:r w:rsidR="005B66E6" w:rsidRPr="005B66E6">
        <w:rPr>
          <w:rStyle w:val="cf01"/>
          <w:rFonts w:asciiTheme="minorHAnsi" w:hAnsiTheme="minorHAnsi" w:cstheme="minorHAnsi"/>
          <w:sz w:val="24"/>
          <w:szCs w:val="24"/>
        </w:rPr>
        <w:t>tıkların düzenli depolama, yakma ve ihrac</w:t>
      </w:r>
      <w:r w:rsidR="005B66E6">
        <w:rPr>
          <w:rStyle w:val="cf01"/>
          <w:rFonts w:asciiTheme="minorHAnsi" w:hAnsiTheme="minorHAnsi" w:cstheme="minorHAnsi"/>
          <w:sz w:val="24"/>
          <w:szCs w:val="24"/>
        </w:rPr>
        <w:t>atı</w:t>
      </w:r>
      <w:r w:rsidR="005B66E6" w:rsidRPr="005B66E6">
        <w:rPr>
          <w:rStyle w:val="cf01"/>
          <w:rFonts w:asciiTheme="minorHAnsi" w:hAnsiTheme="minorHAnsi" w:cstheme="minorHAnsi"/>
          <w:sz w:val="24"/>
          <w:szCs w:val="24"/>
        </w:rPr>
        <w:t>ndan kaçınmak için yerel ve bölgesel mevzuat</w:t>
      </w:r>
      <w:r>
        <w:rPr>
          <w:rStyle w:val="cf01"/>
          <w:rFonts w:asciiTheme="minorHAnsi" w:hAnsiTheme="minorHAnsi" w:cstheme="minorHAnsi"/>
          <w:sz w:val="24"/>
          <w:szCs w:val="24"/>
        </w:rPr>
        <w:t>ın</w:t>
      </w:r>
      <w:r w:rsidR="005B66E6">
        <w:rPr>
          <w:rStyle w:val="cf01"/>
          <w:rFonts w:asciiTheme="minorHAnsi" w:hAnsiTheme="minorHAnsi" w:cstheme="minorHAnsi"/>
          <w:sz w:val="24"/>
          <w:szCs w:val="24"/>
        </w:rPr>
        <w:t xml:space="preserve"> güncellenmesi gerekliliği de yol haritasında belirtilmektedir.</w:t>
      </w:r>
    </w:p>
    <w:p w14:paraId="67FF4AD7" w14:textId="5002571A" w:rsidR="007A58E1" w:rsidRPr="007A58E1" w:rsidRDefault="007A58E1" w:rsidP="00944A3E">
      <w:pPr>
        <w:pStyle w:val="AklamaMetni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A58E1">
        <w:rPr>
          <w:rFonts w:asciiTheme="minorHAnsi" w:hAnsiTheme="minorHAnsi" w:cstheme="minorHAnsi"/>
          <w:b/>
          <w:sz w:val="24"/>
          <w:szCs w:val="24"/>
        </w:rPr>
        <w:t>Beceriler</w:t>
      </w:r>
      <w:r w:rsidR="00B71759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B71759" w:rsidRPr="00B71759">
        <w:rPr>
          <w:rFonts w:asciiTheme="minorHAnsi" w:hAnsiTheme="minorHAnsi" w:cstheme="minorHAnsi"/>
          <w:sz w:val="24"/>
          <w:szCs w:val="24"/>
        </w:rPr>
        <w:t>K</w:t>
      </w:r>
      <w:r w:rsidRPr="007A58E1">
        <w:rPr>
          <w:rFonts w:asciiTheme="minorHAnsi" w:hAnsiTheme="minorHAnsi" w:cstheme="minorHAnsi"/>
          <w:sz w:val="24"/>
          <w:szCs w:val="24"/>
        </w:rPr>
        <w:t xml:space="preserve">imya endüstrisinin yeniden beceri kazanması ve ilave beceriler edinmesini desteklemek için sürdürülebilir odaklı beceriler geliştirilmesi amacıyla </w:t>
      </w:r>
      <w:r w:rsidRPr="007A58E1">
        <w:rPr>
          <w:rFonts w:asciiTheme="minorHAnsi" w:hAnsiTheme="minorHAnsi" w:cstheme="minorHAnsi"/>
          <w:color w:val="202124"/>
          <w:sz w:val="24"/>
          <w:szCs w:val="24"/>
        </w:rPr>
        <w:t xml:space="preserve">yeşil ve sürdürülebilir kimya, kimyasallar yönetmeliği ve güvenlik eğitimi de dahil olmak üzere sektöre özel eğitimler oluşturulması; kimya alanında eğitim programlarına sürdürülebilir kimya, yeşil kimya gibi ilkeler üzerine dersler eklenerek endüstri ihtiyaçlarına uygun bir şekilde eğitim verilmesi gibi eylemler yer almaktadır.  </w:t>
      </w:r>
    </w:p>
    <w:p w14:paraId="266F0EEC" w14:textId="5FAD09E0" w:rsidR="00944A3E" w:rsidRPr="00944A3E" w:rsidRDefault="00944A3E" w:rsidP="00944A3E">
      <w:pPr>
        <w:pStyle w:val="AklamaMetni"/>
        <w:numPr>
          <w:ilvl w:val="0"/>
          <w:numId w:val="4"/>
        </w:num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944A3E">
        <w:rPr>
          <w:rFonts w:asciiTheme="minorHAnsi" w:hAnsiTheme="minorHAnsi" w:cstheme="minorHAnsi"/>
          <w:b/>
          <w:color w:val="auto"/>
          <w:sz w:val="24"/>
          <w:szCs w:val="24"/>
        </w:rPr>
        <w:t>Sosyal Boyut</w:t>
      </w:r>
      <w:r w:rsidR="00B71759">
        <w:rPr>
          <w:rFonts w:asciiTheme="minorHAnsi" w:hAnsiTheme="minorHAnsi" w:cstheme="minorHAnsi"/>
          <w:b/>
          <w:color w:val="auto"/>
          <w:sz w:val="24"/>
          <w:szCs w:val="24"/>
        </w:rPr>
        <w:t xml:space="preserve">- </w:t>
      </w:r>
      <w:r w:rsidR="00B71759" w:rsidRPr="00B71759">
        <w:rPr>
          <w:rFonts w:asciiTheme="minorHAnsi" w:hAnsiTheme="minorHAnsi" w:cstheme="minorHAnsi"/>
          <w:color w:val="auto"/>
          <w:sz w:val="24"/>
          <w:szCs w:val="24"/>
        </w:rPr>
        <w:t>Ç</w:t>
      </w:r>
      <w:r>
        <w:rPr>
          <w:rFonts w:asciiTheme="minorHAnsi" w:hAnsiTheme="minorHAnsi" w:cstheme="minorHAnsi"/>
          <w:color w:val="auto"/>
          <w:sz w:val="24"/>
          <w:szCs w:val="24"/>
        </w:rPr>
        <w:t>alışanlar ve tüketiciler üzerindeki olumsuz etkilerinden kaçınmak için bölgesel uyum ve işçilerin güvenliği gibi ve buna ek olarak toplumsal cinsiyet eşitliğinin geliştirilmesine yönelik eylemler belirlenmiştir.</w:t>
      </w:r>
    </w:p>
    <w:p w14:paraId="348E222B" w14:textId="7F86F406" w:rsidR="00311E7B" w:rsidRDefault="00B71759" w:rsidP="00311E7B">
      <w:pPr>
        <w:pStyle w:val="AklamaMetni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E652F5">
        <w:rPr>
          <w:rFonts w:asciiTheme="minorHAnsi" w:hAnsiTheme="minorHAnsi" w:cstheme="minorHAnsi"/>
          <w:color w:val="auto"/>
          <w:sz w:val="24"/>
          <w:szCs w:val="24"/>
        </w:rPr>
        <w:t xml:space="preserve">Bahis konusu Kimya Endüstrisi Geçiş </w:t>
      </w:r>
      <w:r w:rsidR="00E652F5" w:rsidRPr="00E652F5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E652F5">
        <w:rPr>
          <w:rFonts w:asciiTheme="minorHAnsi" w:hAnsiTheme="minorHAnsi" w:cstheme="minorHAnsi"/>
          <w:color w:val="auto"/>
          <w:sz w:val="24"/>
          <w:szCs w:val="24"/>
        </w:rPr>
        <w:t xml:space="preserve">ol </w:t>
      </w:r>
      <w:proofErr w:type="spellStart"/>
      <w:r w:rsidRPr="00E652F5">
        <w:rPr>
          <w:rFonts w:asciiTheme="minorHAnsi" w:hAnsiTheme="minorHAnsi" w:cstheme="minorHAnsi"/>
          <w:color w:val="auto"/>
          <w:sz w:val="24"/>
          <w:szCs w:val="24"/>
        </w:rPr>
        <w:t>Haritası</w:t>
      </w:r>
      <w:r w:rsidR="00E652F5" w:rsidRPr="00E652F5">
        <w:rPr>
          <w:rFonts w:asciiTheme="minorHAnsi" w:hAnsiTheme="minorHAnsi" w:cstheme="minorHAnsi"/>
          <w:color w:val="auto"/>
          <w:sz w:val="24"/>
          <w:szCs w:val="24"/>
        </w:rPr>
        <w:t>’nın</w:t>
      </w:r>
      <w:proofErr w:type="spellEnd"/>
      <w:r w:rsidR="00E652F5" w:rsidRPr="00E652F5">
        <w:rPr>
          <w:rFonts w:asciiTheme="minorHAnsi" w:hAnsiTheme="minorHAnsi" w:cstheme="minorHAnsi"/>
          <w:color w:val="auto"/>
          <w:sz w:val="24"/>
          <w:szCs w:val="24"/>
        </w:rPr>
        <w:t xml:space="preserve"> içerdiği başlıklar değerlendirildiğinde AYM ile uyumlu olacak şekilde hammaddeden mesleki beceri eğitimlerine, finansmandan sosyal etkilere kadar döngüsel ekonominin gereği olan tüm alanların birlikte ele alındığı görülmektedir. Bu itibarla, </w:t>
      </w:r>
      <w:r w:rsidR="00E652F5">
        <w:rPr>
          <w:rFonts w:asciiTheme="minorHAnsi" w:hAnsiTheme="minorHAnsi" w:cstheme="minorHAnsi"/>
          <w:color w:val="auto"/>
          <w:sz w:val="24"/>
          <w:szCs w:val="24"/>
        </w:rPr>
        <w:t xml:space="preserve">daha önceden REACH/CLP </w:t>
      </w:r>
      <w:r w:rsidR="00066BB8">
        <w:rPr>
          <w:rFonts w:asciiTheme="minorHAnsi" w:hAnsiTheme="minorHAnsi" w:cstheme="minorHAnsi"/>
          <w:color w:val="auto"/>
          <w:sz w:val="24"/>
          <w:szCs w:val="24"/>
        </w:rPr>
        <w:t>gibi teknik mevzuat ile</w:t>
      </w:r>
      <w:r w:rsidR="00E652F5">
        <w:rPr>
          <w:rFonts w:asciiTheme="minorHAnsi" w:hAnsiTheme="minorHAnsi" w:cstheme="minorHAnsi"/>
          <w:color w:val="auto"/>
          <w:sz w:val="24"/>
          <w:szCs w:val="24"/>
        </w:rPr>
        <w:t xml:space="preserve"> yalnızca ürüne ait teknik gerekleri içerecek şekilde düzenlenen AB </w:t>
      </w:r>
      <w:r w:rsidR="00066BB8">
        <w:rPr>
          <w:rFonts w:asciiTheme="minorHAnsi" w:hAnsiTheme="minorHAnsi" w:cstheme="minorHAnsi"/>
          <w:color w:val="auto"/>
          <w:sz w:val="24"/>
          <w:szCs w:val="24"/>
        </w:rPr>
        <w:t xml:space="preserve">kimyasallar </w:t>
      </w:r>
      <w:r w:rsidR="00E652F5">
        <w:rPr>
          <w:rFonts w:asciiTheme="minorHAnsi" w:hAnsiTheme="minorHAnsi" w:cstheme="minorHAnsi"/>
          <w:color w:val="auto"/>
          <w:sz w:val="24"/>
          <w:szCs w:val="24"/>
        </w:rPr>
        <w:t xml:space="preserve">mevzuatının, yeşil ve ikiz dönüşümün sektörün tüm paydaşlarına olası etkilerini pazara giriş koşullarına ekleyeceği </w:t>
      </w:r>
      <w:r w:rsidR="00066BB8">
        <w:rPr>
          <w:rFonts w:asciiTheme="minorHAnsi" w:hAnsiTheme="minorHAnsi" w:cstheme="minorHAnsi"/>
          <w:color w:val="auto"/>
          <w:sz w:val="24"/>
          <w:szCs w:val="24"/>
        </w:rPr>
        <w:t xml:space="preserve">bir yapıya dönüşeceği görülmektedir. </w:t>
      </w:r>
      <w:r w:rsidR="00E652F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1835C54" w14:textId="5651AD19" w:rsidR="00E652F5" w:rsidRPr="00E652F5" w:rsidRDefault="00E652F5" w:rsidP="00311E7B">
      <w:pPr>
        <w:pStyle w:val="AklamaMetni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sectPr w:rsidR="00E652F5" w:rsidRPr="00E652F5" w:rsidSect="00A748ED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A750E" w14:textId="77777777" w:rsidR="00CB6B07" w:rsidRDefault="00CB6B07" w:rsidP="00A748ED">
      <w:pPr>
        <w:spacing w:after="0" w:line="240" w:lineRule="auto"/>
      </w:pPr>
      <w:r>
        <w:separator/>
      </w:r>
    </w:p>
  </w:endnote>
  <w:endnote w:type="continuationSeparator" w:id="0">
    <w:p w14:paraId="2652684C" w14:textId="77777777" w:rsidR="00CB6B07" w:rsidRDefault="00CB6B07" w:rsidP="00A7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A28E2" w14:textId="5BAF7A86" w:rsidR="00A748ED" w:rsidRPr="000567E0" w:rsidRDefault="00A748ED" w:rsidP="000567E0">
    <w:pPr>
      <w:pStyle w:val="Altbilgi"/>
      <w:jc w:val="both"/>
      <w:rPr>
        <w:sz w:val="18"/>
        <w:szCs w:val="18"/>
        <w:lang w:val="tr-TR"/>
      </w:rPr>
    </w:pPr>
    <w:r w:rsidRPr="000567E0">
      <w:rPr>
        <w:sz w:val="18"/>
        <w:szCs w:val="18"/>
        <w:lang w:val="tr-TR"/>
      </w:rPr>
      <w:t xml:space="preserve">Avrupa Kimya Endüstrisi Geçiş Yol Haritasına </w:t>
    </w:r>
    <w:r w:rsidRPr="000567E0">
      <w:rPr>
        <w:sz w:val="18"/>
        <w:szCs w:val="18"/>
      </w:rPr>
      <w:t xml:space="preserve">(Transition Pathway for the Chemical Industry) </w:t>
    </w:r>
    <w:r w:rsidRPr="000567E0">
      <w:rPr>
        <w:sz w:val="18"/>
        <w:szCs w:val="18"/>
        <w:lang w:val="tr-TR"/>
      </w:rPr>
      <w:t xml:space="preserve">ve yol haritasında yer alan takvime (s. 51-57) </w:t>
    </w:r>
    <w:hyperlink r:id="rId1" w:history="1">
      <w:r w:rsidRPr="000567E0">
        <w:rPr>
          <w:rStyle w:val="Kpr"/>
          <w:color w:val="auto"/>
          <w:sz w:val="18"/>
          <w:szCs w:val="18"/>
          <w:u w:val="none"/>
          <w:lang w:val="tr-TR"/>
        </w:rPr>
        <w:t>https://single-market-economy.ec.europa.eu/sectors/chemicals/transition-pathway_en</w:t>
      </w:r>
    </w:hyperlink>
    <w:r w:rsidRPr="000567E0">
      <w:rPr>
        <w:sz w:val="18"/>
        <w:szCs w:val="18"/>
        <w:lang w:val="tr-TR"/>
      </w:rPr>
      <w:t xml:space="preserve"> adresinden ulaşılabilmektedir.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86A1A" w14:textId="77777777" w:rsidR="00CB6B07" w:rsidRDefault="00CB6B07" w:rsidP="00A748ED">
      <w:pPr>
        <w:spacing w:after="0" w:line="240" w:lineRule="auto"/>
      </w:pPr>
      <w:r>
        <w:separator/>
      </w:r>
    </w:p>
  </w:footnote>
  <w:footnote w:type="continuationSeparator" w:id="0">
    <w:p w14:paraId="6F8F9835" w14:textId="77777777" w:rsidR="00CB6B07" w:rsidRDefault="00CB6B07" w:rsidP="00A7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20C9F"/>
    <w:multiLevelType w:val="hybridMultilevel"/>
    <w:tmpl w:val="5E1E028C"/>
    <w:lvl w:ilvl="0" w:tplc="6FFA649E">
      <w:start w:val="2"/>
      <w:numFmt w:val="bullet"/>
      <w:lvlText w:val=""/>
      <w:lvlJc w:val="left"/>
      <w:pPr>
        <w:ind w:left="1075" w:hanging="360"/>
      </w:pPr>
      <w:rPr>
        <w:rFonts w:ascii="Symbol" w:eastAsia="Times New Roman" w:hAnsi="Symbol" w:cstheme="minorHAns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417B4DB2"/>
    <w:multiLevelType w:val="hybridMultilevel"/>
    <w:tmpl w:val="B9C06A92"/>
    <w:lvl w:ilvl="0" w:tplc="D0F62DAE">
      <w:start w:val="2"/>
      <w:numFmt w:val="bullet"/>
      <w:lvlText w:val=""/>
      <w:lvlJc w:val="left"/>
      <w:pPr>
        <w:ind w:left="375" w:hanging="360"/>
      </w:pPr>
      <w:rPr>
        <w:rFonts w:ascii="Symbol" w:eastAsia="Tahoma" w:hAnsi="Symbol" w:cstheme="minorHAnsi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 w15:restartNumberingAfterBreak="0">
    <w:nsid w:val="63307985"/>
    <w:multiLevelType w:val="hybridMultilevel"/>
    <w:tmpl w:val="33BC1986"/>
    <w:lvl w:ilvl="0" w:tplc="2CC6EC02">
      <w:start w:val="2030"/>
      <w:numFmt w:val="bullet"/>
      <w:lvlText w:val="-"/>
      <w:lvlJc w:val="left"/>
      <w:pPr>
        <w:ind w:left="735" w:hanging="360"/>
      </w:pPr>
      <w:rPr>
        <w:rFonts w:ascii="Calibri" w:eastAsiaTheme="minorHAnsi" w:hAnsi="Calibri" w:cs="Calibri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688453F4"/>
    <w:multiLevelType w:val="hybridMultilevel"/>
    <w:tmpl w:val="E27C3BC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35"/>
    <w:rsid w:val="00014161"/>
    <w:rsid w:val="000567E0"/>
    <w:rsid w:val="00066BB8"/>
    <w:rsid w:val="000806E2"/>
    <w:rsid w:val="000A367E"/>
    <w:rsid w:val="00115F76"/>
    <w:rsid w:val="00116639"/>
    <w:rsid w:val="001311C1"/>
    <w:rsid w:val="00131B68"/>
    <w:rsid w:val="001375A3"/>
    <w:rsid w:val="001612BE"/>
    <w:rsid w:val="00225582"/>
    <w:rsid w:val="00231D90"/>
    <w:rsid w:val="00286FBE"/>
    <w:rsid w:val="00311E7B"/>
    <w:rsid w:val="00330189"/>
    <w:rsid w:val="0035630D"/>
    <w:rsid w:val="00381D62"/>
    <w:rsid w:val="00383240"/>
    <w:rsid w:val="00383B6C"/>
    <w:rsid w:val="003B3434"/>
    <w:rsid w:val="003E6B82"/>
    <w:rsid w:val="003F33CB"/>
    <w:rsid w:val="00433B75"/>
    <w:rsid w:val="005347AA"/>
    <w:rsid w:val="00546F9D"/>
    <w:rsid w:val="00552BF2"/>
    <w:rsid w:val="005B66E6"/>
    <w:rsid w:val="005B6DA8"/>
    <w:rsid w:val="00602017"/>
    <w:rsid w:val="0063005A"/>
    <w:rsid w:val="00686727"/>
    <w:rsid w:val="006A4D0A"/>
    <w:rsid w:val="006D297E"/>
    <w:rsid w:val="006E109C"/>
    <w:rsid w:val="007035BF"/>
    <w:rsid w:val="00704147"/>
    <w:rsid w:val="007061AF"/>
    <w:rsid w:val="007A58E1"/>
    <w:rsid w:val="007A6106"/>
    <w:rsid w:val="007A6335"/>
    <w:rsid w:val="007E7A60"/>
    <w:rsid w:val="007F706C"/>
    <w:rsid w:val="00810B72"/>
    <w:rsid w:val="00820D77"/>
    <w:rsid w:val="00822139"/>
    <w:rsid w:val="00850968"/>
    <w:rsid w:val="008A42F3"/>
    <w:rsid w:val="00944863"/>
    <w:rsid w:val="00944A3E"/>
    <w:rsid w:val="00945201"/>
    <w:rsid w:val="00965773"/>
    <w:rsid w:val="009D7200"/>
    <w:rsid w:val="00A20649"/>
    <w:rsid w:val="00A748ED"/>
    <w:rsid w:val="00A77617"/>
    <w:rsid w:val="00B17F2B"/>
    <w:rsid w:val="00B36E2F"/>
    <w:rsid w:val="00B44C6B"/>
    <w:rsid w:val="00B71759"/>
    <w:rsid w:val="00C13DC5"/>
    <w:rsid w:val="00C6493A"/>
    <w:rsid w:val="00CB6B07"/>
    <w:rsid w:val="00CD406A"/>
    <w:rsid w:val="00D1621C"/>
    <w:rsid w:val="00D93131"/>
    <w:rsid w:val="00E50E11"/>
    <w:rsid w:val="00E61488"/>
    <w:rsid w:val="00E652F5"/>
    <w:rsid w:val="00EB308F"/>
    <w:rsid w:val="00EB5C9B"/>
    <w:rsid w:val="00EC0ADB"/>
    <w:rsid w:val="00F35CC4"/>
    <w:rsid w:val="00F6027E"/>
    <w:rsid w:val="00F85EF2"/>
    <w:rsid w:val="00F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CC97"/>
  <w15:chartTrackingRefBased/>
  <w15:docId w15:val="{8013F0F4-447A-4CFE-AE51-64484C56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f01">
    <w:name w:val="cf01"/>
    <w:basedOn w:val="VarsaylanParagrafYazTipi"/>
    <w:rsid w:val="00286FBE"/>
    <w:rPr>
      <w:rFonts w:ascii="Segoe UI" w:hAnsi="Segoe UI" w:cs="Segoe UI" w:hint="default"/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unhideWhenUsed/>
    <w:rsid w:val="00F35CC4"/>
    <w:pPr>
      <w:spacing w:after="112" w:line="240" w:lineRule="auto"/>
      <w:ind w:left="25" w:hanging="10"/>
      <w:jc w:val="both"/>
    </w:pPr>
    <w:rPr>
      <w:rFonts w:ascii="Tahoma" w:eastAsia="Tahoma" w:hAnsi="Tahoma" w:cs="Tahoma"/>
      <w:color w:val="000000"/>
      <w:sz w:val="20"/>
      <w:szCs w:val="20"/>
      <w:lang w:val="tr-TR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35CC4"/>
    <w:rPr>
      <w:rFonts w:ascii="Tahoma" w:eastAsia="Tahoma" w:hAnsi="Tahoma" w:cs="Tahoma"/>
      <w:color w:val="000000"/>
      <w:sz w:val="20"/>
      <w:szCs w:val="20"/>
      <w:lang w:val="tr-TR"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3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3DC5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VarsaylanParagrafYazTipi"/>
    <w:rsid w:val="00C13DC5"/>
  </w:style>
  <w:style w:type="paragraph" w:styleId="ListeParagraf">
    <w:name w:val="List Paragraph"/>
    <w:basedOn w:val="Normal"/>
    <w:uiPriority w:val="34"/>
    <w:qFormat/>
    <w:rsid w:val="006D297E"/>
    <w:pPr>
      <w:ind w:left="720"/>
      <w:contextualSpacing/>
    </w:pPr>
  </w:style>
  <w:style w:type="paragraph" w:customStyle="1" w:styleId="pf0">
    <w:name w:val="pf0"/>
    <w:basedOn w:val="Normal"/>
    <w:rsid w:val="006D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VarsaylanParagrafYazTipi"/>
    <w:rsid w:val="006D297E"/>
    <w:rPr>
      <w:rFonts w:ascii="Segoe UI" w:hAnsi="Segoe UI" w:cs="Segoe UI" w:hint="default"/>
      <w:color w:val="202124"/>
      <w:sz w:val="18"/>
      <w:szCs w:val="18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6D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21">
    <w:name w:val="cf21"/>
    <w:basedOn w:val="VarsaylanParagrafYazTipi"/>
    <w:rsid w:val="0063005A"/>
    <w:rPr>
      <w:rFonts w:ascii="Segoe UI" w:hAnsi="Segoe UI" w:cs="Segoe UI" w:hint="default"/>
      <w:sz w:val="18"/>
      <w:szCs w:val="18"/>
      <w:shd w:val="clear" w:color="auto" w:fill="00FFFF"/>
    </w:rPr>
  </w:style>
  <w:style w:type="paragraph" w:styleId="stbilgi">
    <w:name w:val="header"/>
    <w:basedOn w:val="Normal"/>
    <w:link w:val="stbilgiChar"/>
    <w:uiPriority w:val="99"/>
    <w:unhideWhenUsed/>
    <w:rsid w:val="00A74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48ED"/>
  </w:style>
  <w:style w:type="paragraph" w:styleId="Altbilgi">
    <w:name w:val="footer"/>
    <w:basedOn w:val="Normal"/>
    <w:link w:val="AltbilgiChar"/>
    <w:uiPriority w:val="99"/>
    <w:unhideWhenUsed/>
    <w:rsid w:val="00A74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48ED"/>
  </w:style>
  <w:style w:type="character" w:styleId="Kpr">
    <w:name w:val="Hyperlink"/>
    <w:basedOn w:val="VarsaylanParagrafYazTipi"/>
    <w:uiPriority w:val="99"/>
    <w:unhideWhenUsed/>
    <w:rsid w:val="00A748E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74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ngle-market-economy.ec.europa.eu/sectors/chemicals/transition-pathway_e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7802</Characters>
  <Application>Microsoft Office Word</Application>
  <DocSecurity>0</DocSecurity>
  <Lines>200</Lines>
  <Paragraphs>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Selek</dc:creator>
  <cp:keywords/>
  <dc:description/>
  <cp:lastModifiedBy>Fatma Asena YILDIRIM</cp:lastModifiedBy>
  <cp:revision>2</cp:revision>
  <dcterms:created xsi:type="dcterms:W3CDTF">2023-03-01T11:48:00Z</dcterms:created>
  <dcterms:modified xsi:type="dcterms:W3CDTF">2023-03-01T11:48:00Z</dcterms:modified>
</cp:coreProperties>
</file>